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05DF" w14:textId="2DF4131B" w:rsidR="00116CCD" w:rsidRPr="00816579" w:rsidRDefault="008B4E9D" w:rsidP="001E41FF">
      <w:pPr>
        <w:rPr>
          <w:rFonts w:asciiTheme="minorHAnsi" w:hAnsiTheme="minorHAnsi"/>
          <w:b/>
          <w:bCs/>
        </w:rPr>
      </w:pPr>
      <w:r w:rsidRPr="00816579">
        <w:rPr>
          <w:rFonts w:asciiTheme="minorHAnsi" w:hAnsiTheme="minorHAnsi"/>
          <w:b/>
          <w:bCs/>
        </w:rPr>
        <w:t xml:space="preserve">LANDESGESETZESENTWURF "ÖFFENTLICHER UND SOZIALER WOHNBAU" </w:t>
      </w:r>
    </w:p>
    <w:p w14:paraId="50F816DF" w14:textId="2DDB0E61" w:rsidR="001E41FF" w:rsidRPr="00816579" w:rsidRDefault="00116CCD" w:rsidP="001E41FF">
      <w:pPr>
        <w:rPr>
          <w:rFonts w:asciiTheme="minorHAnsi" w:hAnsiTheme="minorHAnsi"/>
          <w:b/>
          <w:bCs/>
        </w:rPr>
      </w:pPr>
      <w:r w:rsidRPr="00816579">
        <w:rPr>
          <w:rFonts w:asciiTheme="minorHAnsi" w:hAnsiTheme="minorHAnsi"/>
          <w:b/>
          <w:bCs/>
        </w:rPr>
        <w:t xml:space="preserve">EINE BEWERTUNG </w:t>
      </w:r>
      <w:r w:rsidR="008B4E9D" w:rsidRPr="00816579">
        <w:rPr>
          <w:rFonts w:asciiTheme="minorHAnsi" w:hAnsiTheme="minorHAnsi"/>
          <w:b/>
          <w:bCs/>
        </w:rPr>
        <w:t>IN 11 PUNKTEN</w:t>
      </w:r>
    </w:p>
    <w:p w14:paraId="66F463C4" w14:textId="0A808B8C" w:rsidR="008B4E9D" w:rsidRDefault="008B4E9D" w:rsidP="001E41FF">
      <w:pPr>
        <w:rPr>
          <w:rFonts w:asciiTheme="minorHAnsi" w:hAnsiTheme="minorHAnsi"/>
        </w:rPr>
      </w:pPr>
    </w:p>
    <w:p w14:paraId="007630DD" w14:textId="77777777" w:rsidR="00836D85" w:rsidRDefault="00836D85" w:rsidP="001E41FF">
      <w:pPr>
        <w:rPr>
          <w:rFonts w:asciiTheme="minorHAnsi" w:hAnsiTheme="minorHAnsi"/>
        </w:rPr>
      </w:pPr>
    </w:p>
    <w:p w14:paraId="2B3C2F29" w14:textId="5080C5E6" w:rsidR="008B4E9D" w:rsidRDefault="008B4E9D" w:rsidP="001E41FF">
      <w:pPr>
        <w:rPr>
          <w:rFonts w:asciiTheme="minorHAnsi" w:hAnsiTheme="minorHAnsi"/>
        </w:rPr>
      </w:pPr>
      <w:r>
        <w:rPr>
          <w:rFonts w:asciiTheme="minorHAnsi" w:hAnsiTheme="minorHAnsi"/>
        </w:rPr>
        <w:t xml:space="preserve">PUNKT 1 - </w:t>
      </w:r>
      <w:r w:rsidRPr="008B4E9D">
        <w:rPr>
          <w:rFonts w:asciiTheme="minorHAnsi" w:hAnsiTheme="minorHAnsi"/>
        </w:rPr>
        <w:t>Erkennbare Philosophie hinter den Gesetzen</w:t>
      </w:r>
    </w:p>
    <w:tbl>
      <w:tblPr>
        <w:tblStyle w:val="Tabellenraster"/>
        <w:tblW w:w="0" w:type="auto"/>
        <w:tblLook w:val="04A0" w:firstRow="1" w:lastRow="0" w:firstColumn="1" w:lastColumn="0" w:noHBand="0" w:noVBand="1"/>
      </w:tblPr>
      <w:tblGrid>
        <w:gridCol w:w="9060"/>
      </w:tblGrid>
      <w:tr w:rsidR="00FB5F05" w:rsidRPr="0013159C" w14:paraId="5B6A499C" w14:textId="77777777" w:rsidTr="008B4E9D">
        <w:tc>
          <w:tcPr>
            <w:tcW w:w="9060" w:type="dxa"/>
          </w:tcPr>
          <w:p w14:paraId="4B56C903" w14:textId="382C73E2" w:rsidR="00FB5F05" w:rsidRPr="0013159C" w:rsidRDefault="00FB5F05" w:rsidP="00FB5F05">
            <w:pPr>
              <w:rPr>
                <w:rFonts w:asciiTheme="minorHAnsi" w:hAnsiTheme="minorHAnsi"/>
                <w:b/>
                <w:bCs/>
              </w:rPr>
            </w:pPr>
            <w:r w:rsidRPr="0013159C">
              <w:rPr>
                <w:b/>
                <w:bCs/>
              </w:rPr>
              <w:t>Gesetz Raum und Landschaft, soziales Wohnen und geförderter Wohnbau müssen wie aus einem Guss geschrieben und optimal aufeinander abgestimmt sein.</w:t>
            </w:r>
          </w:p>
        </w:tc>
      </w:tr>
      <w:tr w:rsidR="00FB5F05" w14:paraId="10D5ACE1" w14:textId="77777777" w:rsidTr="008B4E9D">
        <w:tc>
          <w:tcPr>
            <w:tcW w:w="9060" w:type="dxa"/>
          </w:tcPr>
          <w:p w14:paraId="1796D77E" w14:textId="4D5DAD25" w:rsidR="00FB5F05" w:rsidRDefault="00FB5F05" w:rsidP="00FB5F05">
            <w:pPr>
              <w:rPr>
                <w:rFonts w:asciiTheme="minorHAnsi" w:hAnsiTheme="minorHAnsi"/>
              </w:rPr>
            </w:pPr>
            <w:r w:rsidRPr="001B06FE">
              <w:t>Prinzipiell ist nichts einzuwenden, dass das aktuell gültige Gesetz in zwei Teile gesplittet wird. Dieser Aspekt ist allerdings nachrangig. Wesentlich wichtiger ist, dass die entsprechenden Gesetzestexte optimal ineinandergreifen. Aktuell gibt es keine Garantie hierfür. Wie be</w:t>
            </w:r>
            <w:r w:rsidR="00816579">
              <w:t>i</w:t>
            </w:r>
            <w:r w:rsidRPr="001B06FE">
              <w:t>spielsweise harmoniert das Gesetz öffentlicher und sozialen Wohnbau mit dem Bauen zum "gedeckelten Preis", das im Gesetz "Raum und Landschaft" geregelt wird?</w:t>
            </w:r>
          </w:p>
        </w:tc>
      </w:tr>
    </w:tbl>
    <w:p w14:paraId="638825F8" w14:textId="77777777" w:rsidR="008B4E9D" w:rsidRDefault="008B4E9D" w:rsidP="001E41FF">
      <w:pPr>
        <w:rPr>
          <w:rFonts w:asciiTheme="minorHAnsi" w:hAnsiTheme="minorHAnsi"/>
        </w:rPr>
      </w:pPr>
    </w:p>
    <w:p w14:paraId="7B628DA5" w14:textId="77EAE6CA" w:rsidR="008B4E9D" w:rsidRDefault="008B4E9D" w:rsidP="001E41FF">
      <w:pPr>
        <w:rPr>
          <w:rFonts w:asciiTheme="minorHAnsi" w:hAnsiTheme="minorHAnsi"/>
        </w:rPr>
      </w:pPr>
    </w:p>
    <w:p w14:paraId="11422B3E" w14:textId="1B30E135" w:rsidR="00FB5F05" w:rsidRDefault="00FB5F05" w:rsidP="00FB5F05">
      <w:pPr>
        <w:rPr>
          <w:rFonts w:asciiTheme="minorHAnsi" w:hAnsiTheme="minorHAnsi"/>
        </w:rPr>
      </w:pPr>
      <w:r>
        <w:rPr>
          <w:rFonts w:asciiTheme="minorHAnsi" w:hAnsiTheme="minorHAnsi"/>
        </w:rPr>
        <w:t xml:space="preserve">PUNKT 2 - </w:t>
      </w:r>
      <w:r w:rsidRPr="00FB5F05">
        <w:rPr>
          <w:rFonts w:asciiTheme="minorHAnsi" w:hAnsiTheme="minorHAnsi"/>
        </w:rPr>
        <w:t>Balance zwischen Landesgesetz und Durchführungsverordnungen</w:t>
      </w:r>
    </w:p>
    <w:tbl>
      <w:tblPr>
        <w:tblStyle w:val="Tabellenraster"/>
        <w:tblW w:w="0" w:type="auto"/>
        <w:tblLook w:val="04A0" w:firstRow="1" w:lastRow="0" w:firstColumn="1" w:lastColumn="0" w:noHBand="0" w:noVBand="1"/>
      </w:tblPr>
      <w:tblGrid>
        <w:gridCol w:w="9060"/>
      </w:tblGrid>
      <w:tr w:rsidR="00FB5F05" w:rsidRPr="0013159C" w14:paraId="32BB6BCD" w14:textId="77777777" w:rsidTr="00DA76A1">
        <w:tc>
          <w:tcPr>
            <w:tcW w:w="9060" w:type="dxa"/>
          </w:tcPr>
          <w:p w14:paraId="3281A59E" w14:textId="3B376CC7" w:rsidR="00FB5F05" w:rsidRPr="0013159C" w:rsidRDefault="00FB5F05" w:rsidP="00FB5F05">
            <w:pPr>
              <w:rPr>
                <w:rFonts w:asciiTheme="minorHAnsi" w:hAnsiTheme="minorHAnsi"/>
                <w:b/>
                <w:bCs/>
              </w:rPr>
            </w:pPr>
            <w:r w:rsidRPr="0013159C">
              <w:rPr>
                <w:b/>
                <w:bCs/>
              </w:rPr>
              <w:t>Grundsatzentscheidungen gehören ins Gesetz, die Feinregelung kann den Durchführungsverordnungen überantwortet werden. Nach unserem Dafürhalten, aktuell zu wenig Gesetz, zu viel Durchführungsverordnung.</w:t>
            </w:r>
          </w:p>
        </w:tc>
      </w:tr>
      <w:tr w:rsidR="00FB5F05" w14:paraId="77A553EA" w14:textId="77777777" w:rsidTr="00DA76A1">
        <w:tc>
          <w:tcPr>
            <w:tcW w:w="9060" w:type="dxa"/>
          </w:tcPr>
          <w:p w14:paraId="5B23634C" w14:textId="1DC83AFC" w:rsidR="00FB5F05" w:rsidRDefault="00FB5F05" w:rsidP="00FB5F05">
            <w:pPr>
              <w:rPr>
                <w:rFonts w:asciiTheme="minorHAnsi" w:hAnsiTheme="minorHAnsi"/>
              </w:rPr>
            </w:pPr>
            <w:r w:rsidRPr="007973CF">
              <w:t xml:space="preserve">Zunächst: Der Landesgesetzesentwurf ist sehr kurz gehalten. Er verweist auf 21 unterschiedlichen Durchführungsverordnungen, die zu einem späteren Zeitpunkt von der Landesregierung (also von der Exekutive, nicht vom Landtag!) verabschieden werden sollen. Er enthält keine Garantien der Mitbestimmung für die Sozialpartner. Wir treten für das Prinzip ein: Die Grundsatzentscheidungen gehören im Gesetz verankert, die Feinausgestaltung kann über Durchführungsverordnungen erfolgen. Das Problem: Im Landesgesetzesentwurf sollen Grundsatzfragen mit Durchführungsverordnung geregelt werden. Kernaspekte wie die Mitbestimmung der Sozialpartner, die befristete Zuweisung, die Kriterien für die Punktevergabe, der prozentuelle Anteil für die verschiedenen Zielgruppen gehören ins Gesetz. </w:t>
            </w:r>
          </w:p>
        </w:tc>
      </w:tr>
    </w:tbl>
    <w:p w14:paraId="09A4C5BA" w14:textId="77777777" w:rsidR="00FB5F05" w:rsidRDefault="00FB5F05" w:rsidP="001E41FF">
      <w:pPr>
        <w:rPr>
          <w:rFonts w:asciiTheme="minorHAnsi" w:hAnsiTheme="minorHAnsi"/>
        </w:rPr>
      </w:pPr>
    </w:p>
    <w:p w14:paraId="26F2D54D" w14:textId="77777777" w:rsidR="00FB5F05" w:rsidRDefault="00FB5F05" w:rsidP="00FB5F05">
      <w:pPr>
        <w:rPr>
          <w:rFonts w:asciiTheme="minorHAnsi" w:hAnsiTheme="minorHAnsi"/>
        </w:rPr>
      </w:pPr>
    </w:p>
    <w:p w14:paraId="4CEDA4BE" w14:textId="7FF8EA15" w:rsidR="00FB5F05" w:rsidRDefault="00FB5F05" w:rsidP="00FB5F05">
      <w:pPr>
        <w:rPr>
          <w:rFonts w:asciiTheme="minorHAnsi" w:hAnsiTheme="minorHAnsi"/>
        </w:rPr>
      </w:pPr>
      <w:r>
        <w:rPr>
          <w:rFonts w:asciiTheme="minorHAnsi" w:hAnsiTheme="minorHAnsi"/>
        </w:rPr>
        <w:t xml:space="preserve">PUNKT 3 - </w:t>
      </w:r>
      <w:r w:rsidRPr="00FB5F05">
        <w:rPr>
          <w:rFonts w:asciiTheme="minorHAnsi" w:hAnsiTheme="minorHAnsi"/>
        </w:rPr>
        <w:t xml:space="preserve">Verbindliche Ziele, Wohnbauprogramme &amp; Kultur der </w:t>
      </w:r>
      <w:r w:rsidR="00816579" w:rsidRPr="00FB5F05">
        <w:rPr>
          <w:rFonts w:asciiTheme="minorHAnsi" w:hAnsiTheme="minorHAnsi"/>
        </w:rPr>
        <w:t>Evaluation</w:t>
      </w:r>
    </w:p>
    <w:tbl>
      <w:tblPr>
        <w:tblStyle w:val="Tabellenraster"/>
        <w:tblW w:w="0" w:type="auto"/>
        <w:tblLook w:val="04A0" w:firstRow="1" w:lastRow="0" w:firstColumn="1" w:lastColumn="0" w:noHBand="0" w:noVBand="1"/>
      </w:tblPr>
      <w:tblGrid>
        <w:gridCol w:w="9060"/>
      </w:tblGrid>
      <w:tr w:rsidR="00FB5F05" w:rsidRPr="0013159C" w14:paraId="50489AFB" w14:textId="77777777" w:rsidTr="00DA76A1">
        <w:tc>
          <w:tcPr>
            <w:tcW w:w="9060" w:type="dxa"/>
          </w:tcPr>
          <w:p w14:paraId="53D5E896" w14:textId="25A9D976" w:rsidR="00FB5F05" w:rsidRPr="0013159C" w:rsidRDefault="00FB5F05" w:rsidP="00FB5F05">
            <w:pPr>
              <w:rPr>
                <w:rFonts w:asciiTheme="minorHAnsi" w:hAnsiTheme="minorHAnsi"/>
                <w:b/>
                <w:bCs/>
              </w:rPr>
            </w:pPr>
            <w:r w:rsidRPr="0013159C">
              <w:rPr>
                <w:b/>
                <w:bCs/>
              </w:rPr>
              <w:t xml:space="preserve">Die Ziele des öffentlichen und sozialen Wohnbaus müssen an Zielmarken gekoppelt werden. An letzteren lässt sich der Zielerreichungsgrad </w:t>
            </w:r>
            <w:r w:rsidR="0047401E">
              <w:rPr>
                <w:b/>
                <w:bCs/>
              </w:rPr>
              <w:t>festmachen</w:t>
            </w:r>
            <w:r w:rsidRPr="0013159C">
              <w:rPr>
                <w:b/>
                <w:bCs/>
              </w:rPr>
              <w:t>.</w:t>
            </w:r>
          </w:p>
        </w:tc>
      </w:tr>
      <w:tr w:rsidR="00FB5F05" w14:paraId="05B99A96" w14:textId="77777777" w:rsidTr="00DA76A1">
        <w:tc>
          <w:tcPr>
            <w:tcW w:w="9060" w:type="dxa"/>
          </w:tcPr>
          <w:p w14:paraId="0C6E7CE2" w14:textId="46682F41" w:rsidR="00FB5F05" w:rsidRDefault="00FB5F05" w:rsidP="00FB5F05">
            <w:pPr>
              <w:rPr>
                <w:rFonts w:asciiTheme="minorHAnsi" w:hAnsiTheme="minorHAnsi"/>
              </w:rPr>
            </w:pPr>
            <w:r w:rsidRPr="00AA1DD2">
              <w:t>Der Gesetzesentwurf enthält keine Zielmarken oder verbindliche Ziele. Beispiel, dass die Rangordnungen bis 2030 vollständig zurückgebaut werden. Dass im urbanen Gebiet ein Grad der Durchmischung von 30% angestrebt wird. Im Gesetz steht nichts darüber, welche Maßnahmen das Land einsetzen will, um diese Ziele zu erreichen. Verbindliche Zahl, was das "Wohnprogramm" in den nächsten 5 Jahren anbelangt. Evaluation der Zielerreichung am Ende des Fünf-Jahre-Zeitraumes notwendig.</w:t>
            </w:r>
          </w:p>
        </w:tc>
      </w:tr>
    </w:tbl>
    <w:p w14:paraId="3C6C0D9C" w14:textId="77777777" w:rsidR="00FB5F05" w:rsidRDefault="00FB5F05" w:rsidP="00FB5F05">
      <w:pPr>
        <w:rPr>
          <w:rFonts w:asciiTheme="minorHAnsi" w:hAnsiTheme="minorHAnsi"/>
        </w:rPr>
      </w:pPr>
    </w:p>
    <w:p w14:paraId="1852FE74" w14:textId="77777777" w:rsidR="00FB5F05" w:rsidRDefault="00FB5F05" w:rsidP="00FB5F05">
      <w:pPr>
        <w:rPr>
          <w:rFonts w:asciiTheme="minorHAnsi" w:hAnsiTheme="minorHAnsi"/>
        </w:rPr>
      </w:pPr>
    </w:p>
    <w:p w14:paraId="42F86761" w14:textId="36429801" w:rsidR="00FB5F05" w:rsidRDefault="00FB5F05" w:rsidP="00FB5F05">
      <w:pPr>
        <w:rPr>
          <w:rFonts w:asciiTheme="minorHAnsi" w:hAnsiTheme="minorHAnsi"/>
        </w:rPr>
      </w:pPr>
      <w:r>
        <w:rPr>
          <w:rFonts w:asciiTheme="minorHAnsi" w:hAnsiTheme="minorHAnsi"/>
        </w:rPr>
        <w:lastRenderedPageBreak/>
        <w:t xml:space="preserve">PUNKT 4 - </w:t>
      </w:r>
      <w:r w:rsidRPr="00FB5F05">
        <w:rPr>
          <w:rFonts w:asciiTheme="minorHAnsi" w:hAnsiTheme="minorHAnsi"/>
        </w:rPr>
        <w:t>Befristete Zuweisung: Viele Fragezeichen</w:t>
      </w:r>
    </w:p>
    <w:tbl>
      <w:tblPr>
        <w:tblStyle w:val="Tabellenraster"/>
        <w:tblW w:w="0" w:type="auto"/>
        <w:tblLook w:val="04A0" w:firstRow="1" w:lastRow="0" w:firstColumn="1" w:lastColumn="0" w:noHBand="0" w:noVBand="1"/>
      </w:tblPr>
      <w:tblGrid>
        <w:gridCol w:w="9060"/>
      </w:tblGrid>
      <w:tr w:rsidR="00FB5F05" w:rsidRPr="0013159C" w14:paraId="588912C3" w14:textId="77777777" w:rsidTr="00DA76A1">
        <w:tc>
          <w:tcPr>
            <w:tcW w:w="9060" w:type="dxa"/>
          </w:tcPr>
          <w:p w14:paraId="4EA2D9C4" w14:textId="1D463A88" w:rsidR="00FB5F05" w:rsidRPr="0013159C" w:rsidRDefault="00FB5F05" w:rsidP="00FB5F05">
            <w:pPr>
              <w:rPr>
                <w:rFonts w:asciiTheme="minorHAnsi" w:hAnsiTheme="minorHAnsi"/>
                <w:b/>
                <w:bCs/>
              </w:rPr>
            </w:pPr>
            <w:r w:rsidRPr="0013159C">
              <w:rPr>
                <w:b/>
                <w:bCs/>
              </w:rPr>
              <w:t>Befristete Zuweisung von WOBI-Wohnungen: große Skepsis, inhaltlich und in der praktischen Umsetzung.</w:t>
            </w:r>
          </w:p>
        </w:tc>
      </w:tr>
      <w:tr w:rsidR="00FB5F05" w14:paraId="5D57C19F" w14:textId="77777777" w:rsidTr="00DA76A1">
        <w:tc>
          <w:tcPr>
            <w:tcW w:w="9060" w:type="dxa"/>
          </w:tcPr>
          <w:p w14:paraId="1DA1A586" w14:textId="101B0FD8" w:rsidR="00FB5F05" w:rsidRDefault="00FB5F05" w:rsidP="00FB5F05">
            <w:pPr>
              <w:rPr>
                <w:rFonts w:asciiTheme="minorHAnsi" w:hAnsiTheme="minorHAnsi"/>
              </w:rPr>
            </w:pPr>
            <w:r w:rsidRPr="00566749">
              <w:t xml:space="preserve">Wohnen ist ein Grundrecht. Das ist aber nicht gleichbedeutend mit einem lebenslangen Recht, eine Sozialwohnung zugewiesen zu bekommen. Familiensituationen und wirtschaftliche Situationen können sich im Lebensverlauf verändern und ggf. verbessern. Wie die befristete Zuweisung aber in der Praxis ausschauen soll, wirft viele Fragen auf, wie: 1) Betrifft die </w:t>
            </w:r>
            <w:r w:rsidR="00816579" w:rsidRPr="00566749">
              <w:t>befristete</w:t>
            </w:r>
            <w:r w:rsidRPr="00566749">
              <w:t xml:space="preserve"> Zuweisung nur die zukünftigen oder auch die laufenden Verträge? 2) Was passiert mit jenen, die sich durch eigenes Engagement über die Einkommensschwelle für eine Sozialwohnung hinausentwickeln? Hier ist Vorsicht geboten, dass Engagement nicht bestraft wird. Konkret: Bei einer nur zeitbefristeten Zuweisung einer Sozialwohnung fällt der Anreiz weg, ein </w:t>
            </w:r>
            <w:r w:rsidR="00816579" w:rsidRPr="00566749">
              <w:t>höheres</w:t>
            </w:r>
            <w:r w:rsidRPr="00566749">
              <w:t xml:space="preserve"> Einkommen zu erwirtschaften bzw. es könnte ein Nährboden für Schwarzarbeit sein. 3) Was passiert mit den Familien, denen die befristete Zuweisung der </w:t>
            </w:r>
            <w:r w:rsidR="00816579" w:rsidRPr="00566749">
              <w:t>Sozialwohnung</w:t>
            </w:r>
            <w:r w:rsidRPr="00566749">
              <w:t xml:space="preserve"> aus irgendwelchem Grund nicht erneuert wird? 4) Die befristete Zuweisung bringt für das WOBI als größten "</w:t>
            </w:r>
            <w:r w:rsidR="00816579" w:rsidRPr="00566749">
              <w:t>Kondominiums Verwalter</w:t>
            </w:r>
            <w:r w:rsidRPr="00566749">
              <w:t>" Südtirols beträchtlichen Zusatzaufwand (Erneuerung/Verlängerung der Verträge, Umsiedlung Familien, erneute Zuweisung).  5) Die befristete Zuweisung setzt eine verstärkte Zusammenarbeit mit Arbeitsamt und Sozialdienste voraus. 6) Eine dienstübergreifende Kontrolltätigkeit ist notwendig.</w:t>
            </w:r>
          </w:p>
        </w:tc>
      </w:tr>
    </w:tbl>
    <w:p w14:paraId="0AABD698" w14:textId="77777777" w:rsidR="00FB5F05" w:rsidRDefault="00FB5F05" w:rsidP="00FB5F05">
      <w:pPr>
        <w:rPr>
          <w:rFonts w:asciiTheme="minorHAnsi" w:hAnsiTheme="minorHAnsi"/>
        </w:rPr>
      </w:pPr>
    </w:p>
    <w:p w14:paraId="7D5432EC" w14:textId="77777777" w:rsidR="00FB5F05" w:rsidRDefault="00FB5F05" w:rsidP="00FB5F05">
      <w:pPr>
        <w:rPr>
          <w:rFonts w:asciiTheme="minorHAnsi" w:hAnsiTheme="minorHAnsi"/>
        </w:rPr>
      </w:pPr>
    </w:p>
    <w:p w14:paraId="2232804C" w14:textId="094090CE" w:rsidR="00FB5F05" w:rsidRDefault="00FB5F05" w:rsidP="00FB5F05">
      <w:pPr>
        <w:rPr>
          <w:rFonts w:asciiTheme="minorHAnsi" w:hAnsiTheme="minorHAnsi"/>
        </w:rPr>
      </w:pPr>
      <w:r>
        <w:rPr>
          <w:rFonts w:asciiTheme="minorHAnsi" w:hAnsiTheme="minorHAnsi"/>
        </w:rPr>
        <w:t xml:space="preserve">PUNKT 5 - </w:t>
      </w:r>
      <w:r w:rsidRPr="00FB5F05">
        <w:rPr>
          <w:rFonts w:asciiTheme="minorHAnsi" w:hAnsiTheme="minorHAnsi"/>
        </w:rPr>
        <w:t>Neue Rolle des WOBI</w:t>
      </w:r>
    </w:p>
    <w:tbl>
      <w:tblPr>
        <w:tblStyle w:val="Tabellenraster"/>
        <w:tblW w:w="0" w:type="auto"/>
        <w:tblLook w:val="04A0" w:firstRow="1" w:lastRow="0" w:firstColumn="1" w:lastColumn="0" w:noHBand="0" w:noVBand="1"/>
      </w:tblPr>
      <w:tblGrid>
        <w:gridCol w:w="9060"/>
      </w:tblGrid>
      <w:tr w:rsidR="00FB5F05" w:rsidRPr="0013159C" w14:paraId="29E22756" w14:textId="77777777" w:rsidTr="00DA76A1">
        <w:tc>
          <w:tcPr>
            <w:tcW w:w="9060" w:type="dxa"/>
          </w:tcPr>
          <w:p w14:paraId="0670A121" w14:textId="656EE832" w:rsidR="00FB5F05" w:rsidRPr="0013159C" w:rsidRDefault="00FB5F05" w:rsidP="00FB5F05">
            <w:pPr>
              <w:rPr>
                <w:rFonts w:asciiTheme="minorHAnsi" w:hAnsiTheme="minorHAnsi"/>
                <w:b/>
                <w:bCs/>
              </w:rPr>
            </w:pPr>
            <w:r w:rsidRPr="0013159C">
              <w:rPr>
                <w:b/>
                <w:bCs/>
              </w:rPr>
              <w:t>Das WOBI muss aufgewertet und erneuert werden, ohne das Institut zu überfrachten.</w:t>
            </w:r>
          </w:p>
        </w:tc>
      </w:tr>
      <w:tr w:rsidR="00FB5F05" w14:paraId="357D5A34" w14:textId="77777777" w:rsidTr="00DA76A1">
        <w:tc>
          <w:tcPr>
            <w:tcW w:w="9060" w:type="dxa"/>
          </w:tcPr>
          <w:p w14:paraId="640BD87F" w14:textId="7CF1D7DD" w:rsidR="00FB5F05" w:rsidRDefault="00FB5F05" w:rsidP="00FB5F05">
            <w:pPr>
              <w:rPr>
                <w:rFonts w:asciiTheme="minorHAnsi" w:hAnsiTheme="minorHAnsi"/>
              </w:rPr>
            </w:pPr>
            <w:r w:rsidRPr="00042DD9">
              <w:t>Laut Landesgesetzesentwurf erhält das WOBI zusätzliche, neue Aufgaben: soziale Durchmischung, neue Wohnformen (</w:t>
            </w:r>
            <w:proofErr w:type="spellStart"/>
            <w:r w:rsidRPr="00042DD9">
              <w:t>Cohousing</w:t>
            </w:r>
            <w:proofErr w:type="spellEnd"/>
            <w:r w:rsidRPr="00042DD9">
              <w:t>), Wohnungen für junge Familien, Mehrgenerationenwohnen, betreutes Wohne</w:t>
            </w:r>
            <w:r w:rsidR="00816579">
              <w:t>n</w:t>
            </w:r>
            <w:r w:rsidRPr="00042DD9">
              <w:t xml:space="preserve">, Studentenwohnungen, </w:t>
            </w:r>
            <w:proofErr w:type="spellStart"/>
            <w:r w:rsidRPr="00042DD9">
              <w:t>Quartiesarbeit</w:t>
            </w:r>
            <w:proofErr w:type="spellEnd"/>
            <w:r w:rsidRPr="00042DD9">
              <w:t xml:space="preserve">. Will man das alles schultern, braucht es zusätzliche personelle und finanzielle Ressourcen sowie entsprechendes Know-how und Humankapital im Institut. Gleichzeitig müssen Abteilungen und Dienste im WOBI überdacht werden (Anregung: Auslagerung des technischen Amts im WOBI an das Amt für Hoch- und Tiefbau?). Hin zum neuen Kerngeschäft! Allgemein muss sich das WOBI moderner aufstellen. Die Zusammenarbeit mit Gemeinden und Bezirksgemeinschaften ist zu forcieren </w:t>
            </w:r>
          </w:p>
        </w:tc>
      </w:tr>
    </w:tbl>
    <w:p w14:paraId="24FA3D1B" w14:textId="77777777" w:rsidR="00FB5F05" w:rsidRDefault="00FB5F05" w:rsidP="00FB5F05">
      <w:pPr>
        <w:rPr>
          <w:rFonts w:asciiTheme="minorHAnsi" w:hAnsiTheme="minorHAnsi"/>
        </w:rPr>
      </w:pPr>
    </w:p>
    <w:p w14:paraId="2F0701D6" w14:textId="77777777" w:rsidR="00FB5F05" w:rsidRDefault="00FB5F05" w:rsidP="00FB5F05">
      <w:pPr>
        <w:rPr>
          <w:rFonts w:asciiTheme="minorHAnsi" w:hAnsiTheme="minorHAnsi"/>
        </w:rPr>
      </w:pPr>
    </w:p>
    <w:p w14:paraId="3ADE3E18" w14:textId="31023973" w:rsidR="00FB5F05" w:rsidRDefault="00FB5F05" w:rsidP="00FB5F05">
      <w:pPr>
        <w:rPr>
          <w:rFonts w:asciiTheme="minorHAnsi" w:hAnsiTheme="minorHAnsi"/>
        </w:rPr>
      </w:pPr>
      <w:r>
        <w:rPr>
          <w:rFonts w:asciiTheme="minorHAnsi" w:hAnsiTheme="minorHAnsi"/>
        </w:rPr>
        <w:t xml:space="preserve">PUNKT 6 - </w:t>
      </w:r>
      <w:r w:rsidRPr="00FB5F05">
        <w:rPr>
          <w:rFonts w:asciiTheme="minorHAnsi" w:hAnsiTheme="minorHAnsi"/>
        </w:rPr>
        <w:t>WOBI-Wohnungen auch für neue Zielgruppen</w:t>
      </w:r>
    </w:p>
    <w:tbl>
      <w:tblPr>
        <w:tblStyle w:val="Tabellenraster"/>
        <w:tblW w:w="0" w:type="auto"/>
        <w:tblLook w:val="04A0" w:firstRow="1" w:lastRow="0" w:firstColumn="1" w:lastColumn="0" w:noHBand="0" w:noVBand="1"/>
      </w:tblPr>
      <w:tblGrid>
        <w:gridCol w:w="9060"/>
      </w:tblGrid>
      <w:tr w:rsidR="00FB5F05" w:rsidRPr="0013159C" w14:paraId="6B9AA22B" w14:textId="77777777" w:rsidTr="00DA76A1">
        <w:tc>
          <w:tcPr>
            <w:tcW w:w="9060" w:type="dxa"/>
          </w:tcPr>
          <w:p w14:paraId="7B00DFE7" w14:textId="2E108BB7" w:rsidR="00FB5F05" w:rsidRPr="0013159C" w:rsidRDefault="00FB5F05" w:rsidP="00FB5F05">
            <w:pPr>
              <w:rPr>
                <w:rFonts w:asciiTheme="minorHAnsi" w:hAnsiTheme="minorHAnsi"/>
                <w:b/>
                <w:bCs/>
              </w:rPr>
            </w:pPr>
            <w:r w:rsidRPr="0013159C">
              <w:rPr>
                <w:b/>
                <w:bCs/>
              </w:rPr>
              <w:t xml:space="preserve">Die neuen Zielgruppen dürfen nicht den sozial </w:t>
            </w:r>
            <w:r w:rsidR="0047401E">
              <w:rPr>
                <w:b/>
                <w:bCs/>
              </w:rPr>
              <w:t>Schwachen</w:t>
            </w:r>
            <w:r w:rsidRPr="0013159C">
              <w:rPr>
                <w:b/>
                <w:bCs/>
              </w:rPr>
              <w:t xml:space="preserve"> die Sozialwohnung streitig machen. </w:t>
            </w:r>
          </w:p>
        </w:tc>
      </w:tr>
      <w:tr w:rsidR="00FB5F05" w14:paraId="542E9BA1" w14:textId="77777777" w:rsidTr="00DA76A1">
        <w:tc>
          <w:tcPr>
            <w:tcW w:w="9060" w:type="dxa"/>
          </w:tcPr>
          <w:p w14:paraId="264C3233" w14:textId="3A5999D3" w:rsidR="00FB5F05" w:rsidRDefault="00FB5F05" w:rsidP="00FB5F05">
            <w:pPr>
              <w:rPr>
                <w:rFonts w:asciiTheme="minorHAnsi" w:hAnsiTheme="minorHAnsi"/>
              </w:rPr>
            </w:pPr>
            <w:r w:rsidRPr="00C975C3">
              <w:t xml:space="preserve">So begrüßenswert es ist, dass eine soziale Durchmischung angestrebt wird, so präsent ist das Risiko, dass das Wohnangebot sich nicht in dem Maß entwickelt, um auch der erweiterten Zielgruppe eine ausreichend hohe Zahl an Wohnungen zur Verfügung zu stellen. Wichtig: Davor braucht es genügend Wohnangebot, erst später folgt die Öffnung für neue Zielgruppen. Wenn </w:t>
            </w:r>
            <w:r w:rsidRPr="00C975C3">
              <w:lastRenderedPageBreak/>
              <w:t xml:space="preserve">die Anzahl der Berechtigten steigt, aber jene der Wohnungen nicht, erzeugt dies nur </w:t>
            </w:r>
            <w:r w:rsidR="0013159C">
              <w:t xml:space="preserve">in hohem Maß </w:t>
            </w:r>
            <w:r w:rsidRPr="00C975C3">
              <w:t>unbefriedigte Erwartungen.</w:t>
            </w:r>
          </w:p>
        </w:tc>
      </w:tr>
    </w:tbl>
    <w:p w14:paraId="1B1545CF" w14:textId="77777777" w:rsidR="00FB5F05" w:rsidRDefault="00FB5F05" w:rsidP="00FB5F05">
      <w:pPr>
        <w:rPr>
          <w:rFonts w:asciiTheme="minorHAnsi" w:hAnsiTheme="minorHAnsi"/>
        </w:rPr>
      </w:pPr>
    </w:p>
    <w:p w14:paraId="1A23D345" w14:textId="77777777" w:rsidR="00FB5F05" w:rsidRDefault="00FB5F05" w:rsidP="00FB5F05">
      <w:pPr>
        <w:rPr>
          <w:rFonts w:asciiTheme="minorHAnsi" w:hAnsiTheme="minorHAnsi"/>
        </w:rPr>
      </w:pPr>
    </w:p>
    <w:p w14:paraId="6B6CB2F7" w14:textId="449510D8" w:rsidR="00FB5F05" w:rsidRDefault="00FB5F05" w:rsidP="00FB5F05">
      <w:pPr>
        <w:rPr>
          <w:rFonts w:asciiTheme="minorHAnsi" w:hAnsiTheme="minorHAnsi"/>
        </w:rPr>
      </w:pPr>
      <w:r>
        <w:rPr>
          <w:rFonts w:asciiTheme="minorHAnsi" w:hAnsiTheme="minorHAnsi"/>
        </w:rPr>
        <w:t xml:space="preserve">PUNKT 7 - </w:t>
      </w:r>
      <w:r w:rsidRPr="00FB5F05">
        <w:rPr>
          <w:rFonts w:asciiTheme="minorHAnsi" w:hAnsiTheme="minorHAnsi"/>
        </w:rPr>
        <w:t>Differenzierter Landesmietzins</w:t>
      </w:r>
    </w:p>
    <w:tbl>
      <w:tblPr>
        <w:tblStyle w:val="Tabellenraster"/>
        <w:tblW w:w="0" w:type="auto"/>
        <w:tblLook w:val="04A0" w:firstRow="1" w:lastRow="0" w:firstColumn="1" w:lastColumn="0" w:noHBand="0" w:noVBand="1"/>
      </w:tblPr>
      <w:tblGrid>
        <w:gridCol w:w="9060"/>
      </w:tblGrid>
      <w:tr w:rsidR="00FB5F05" w:rsidRPr="0013159C" w14:paraId="4A2E6E02" w14:textId="77777777" w:rsidTr="00DA76A1">
        <w:tc>
          <w:tcPr>
            <w:tcW w:w="9060" w:type="dxa"/>
          </w:tcPr>
          <w:p w14:paraId="441A90B6" w14:textId="1469982A" w:rsidR="00FB5F05" w:rsidRPr="0013159C" w:rsidRDefault="00FB5F05" w:rsidP="00FB5F05">
            <w:pPr>
              <w:rPr>
                <w:rFonts w:asciiTheme="minorHAnsi" w:hAnsiTheme="minorHAnsi"/>
                <w:b/>
                <w:bCs/>
              </w:rPr>
            </w:pPr>
            <w:r w:rsidRPr="0013159C">
              <w:rPr>
                <w:b/>
                <w:bCs/>
              </w:rPr>
              <w:t>Das Berechnungsmodell für den Landesmietzins (der als Grundlage sowohl für den sozialen als auch für den leistbaren Mietzins fungieren soll) muss zusammen mit den Sozialpartnern erarbeitet werden.</w:t>
            </w:r>
          </w:p>
        </w:tc>
      </w:tr>
      <w:tr w:rsidR="00FB5F05" w14:paraId="7A969414" w14:textId="77777777" w:rsidTr="00DA76A1">
        <w:tc>
          <w:tcPr>
            <w:tcW w:w="9060" w:type="dxa"/>
          </w:tcPr>
          <w:p w14:paraId="723F1F09" w14:textId="31FF50F6" w:rsidR="00FB5F05" w:rsidRDefault="00FB5F05" w:rsidP="00FB5F05">
            <w:pPr>
              <w:rPr>
                <w:rFonts w:asciiTheme="minorHAnsi" w:hAnsiTheme="minorHAnsi"/>
              </w:rPr>
            </w:pPr>
            <w:r w:rsidRPr="00593650">
              <w:t>In einem Wohn- und Mietmarkt, der sich territorial unterschiedlich darstellt, ist es naheliegend, dass man vom einheitlichen Mietzins abgeht und eine preisliche Differenzierung anstrebt. Allerdings deutet nichts darauf hin, wie sich dieser differenzierte Landesmietzins berechnen lässt bzw. wer diesen errechnet. Dort, wo der Mietmarkt besonders stark entwickelt ist (in den Städten) bzw. wo der Wohnungsmarkt angespannt ist, sind die größten nachteiligen Entwicklungen für Mieter zu erwarten.</w:t>
            </w:r>
          </w:p>
        </w:tc>
      </w:tr>
    </w:tbl>
    <w:p w14:paraId="7DBBAE2F" w14:textId="77777777" w:rsidR="00FB5F05" w:rsidRDefault="00FB5F05" w:rsidP="00FB5F05">
      <w:pPr>
        <w:rPr>
          <w:rFonts w:asciiTheme="minorHAnsi" w:hAnsiTheme="minorHAnsi"/>
        </w:rPr>
      </w:pPr>
    </w:p>
    <w:p w14:paraId="24164912" w14:textId="77777777" w:rsidR="00FB5F05" w:rsidRDefault="00FB5F05" w:rsidP="00FB5F05">
      <w:pPr>
        <w:rPr>
          <w:rFonts w:asciiTheme="minorHAnsi" w:hAnsiTheme="minorHAnsi"/>
        </w:rPr>
      </w:pPr>
    </w:p>
    <w:p w14:paraId="05FE0518" w14:textId="7042D6AA" w:rsidR="00FB5F05" w:rsidRDefault="00FB5F05" w:rsidP="00FB5F05">
      <w:pPr>
        <w:rPr>
          <w:rFonts w:asciiTheme="minorHAnsi" w:hAnsiTheme="minorHAnsi"/>
        </w:rPr>
      </w:pPr>
      <w:r>
        <w:rPr>
          <w:rFonts w:asciiTheme="minorHAnsi" w:hAnsiTheme="minorHAnsi"/>
        </w:rPr>
        <w:t xml:space="preserve">PUNKT 8 - </w:t>
      </w:r>
      <w:r w:rsidRPr="00FB5F05">
        <w:rPr>
          <w:rFonts w:asciiTheme="minorHAnsi" w:hAnsiTheme="minorHAnsi"/>
        </w:rPr>
        <w:t>Ranglisten &amp; Parameter</w:t>
      </w:r>
    </w:p>
    <w:tbl>
      <w:tblPr>
        <w:tblStyle w:val="Tabellenraster"/>
        <w:tblW w:w="0" w:type="auto"/>
        <w:tblLook w:val="04A0" w:firstRow="1" w:lastRow="0" w:firstColumn="1" w:lastColumn="0" w:noHBand="0" w:noVBand="1"/>
      </w:tblPr>
      <w:tblGrid>
        <w:gridCol w:w="9060"/>
      </w:tblGrid>
      <w:tr w:rsidR="00FB5F05" w:rsidRPr="0013159C" w14:paraId="5467F8F7" w14:textId="77777777" w:rsidTr="00DA76A1">
        <w:tc>
          <w:tcPr>
            <w:tcW w:w="9060" w:type="dxa"/>
          </w:tcPr>
          <w:p w14:paraId="7D161D1E" w14:textId="2E886D6D" w:rsidR="00FB5F05" w:rsidRPr="0013159C" w:rsidRDefault="00FB5F05" w:rsidP="00FB5F05">
            <w:pPr>
              <w:rPr>
                <w:rFonts w:asciiTheme="minorHAnsi" w:hAnsiTheme="minorHAnsi"/>
                <w:b/>
                <w:bCs/>
              </w:rPr>
            </w:pPr>
            <w:r w:rsidRPr="0013159C">
              <w:rPr>
                <w:b/>
                <w:bCs/>
              </w:rPr>
              <w:t>Keine Tricks, um die Zahl der Anspruchsberechtigten einer Sozialwohnung künstlich nach unten zu schrauben. Kein diskriminierendes Punktesystem. Wesentliche Korrektive notwendig!</w:t>
            </w:r>
          </w:p>
        </w:tc>
      </w:tr>
      <w:tr w:rsidR="00FB5F05" w14:paraId="73576D3E" w14:textId="77777777" w:rsidTr="00DA76A1">
        <w:tc>
          <w:tcPr>
            <w:tcW w:w="9060" w:type="dxa"/>
          </w:tcPr>
          <w:p w14:paraId="33C6F951" w14:textId="5AB90B5B" w:rsidR="00FB5F05" w:rsidRDefault="00FB5F05" w:rsidP="00FB5F05">
            <w:pPr>
              <w:rPr>
                <w:rFonts w:asciiTheme="minorHAnsi" w:hAnsiTheme="minorHAnsi"/>
              </w:rPr>
            </w:pPr>
            <w:r w:rsidRPr="00DE70F9">
              <w:t xml:space="preserve">Die neuen Kriterien für die Erstellung der Rangordnung sind </w:t>
            </w:r>
            <w:r w:rsidR="0013159C" w:rsidRPr="00DE70F9">
              <w:t>tendenziell</w:t>
            </w:r>
            <w:r w:rsidRPr="00DE70F9">
              <w:t xml:space="preserve"> stringenter. Nur zwei Beispiele: Lohnabhängige, die mit den alten Kriterien auf 25 Punkte gekommen wären, bekommen mit den neuen 2-3 Punkte weniger. Bei den Menschen mit Beeinträchtigungen fehlen die Freibeträge. Der Zugang zu einer Sozialwohnung sollte für Opfer von häuslicher Gewalt erleichtert werden, indem man für solche Fälle Zusatzpunkte gewährt. Wie dem auch sei: Das Wohnproblem in Südtirol löst man nicht, indem man die Kriterien für Anspruchsberechtigte für den sozialen Wohnbau verschärft. Ähnliches Problem bei der "neuen EEVE", wo in der Rangliste jene belohnt werden, die von Beiträgen leben (gehen nicht in die EEVE ein) und jene bestraft werden, die Lohneinkommen erzielen (werden in der EEVE angegeben). Im Wesentlichen muss die Berechnung der individuellen wirtschaftlichen Situation dahingehend korrigiert werden, dass wer ein lohnabhängiges Arbeitsverhältnis hat, einige Punkte mehr erhält. Was Gesuche/Ranglisten betrifft: Die Ranglisten sind in Zukunft auf Bezirksebene zu führen und nicht auf Gemeindeebene. Im Allgemeinen sollten die Behandlung von Gesuchen mehr auf Bezirksebene erfolgen. </w:t>
            </w:r>
          </w:p>
        </w:tc>
      </w:tr>
    </w:tbl>
    <w:p w14:paraId="7C06D509" w14:textId="77777777" w:rsidR="00FB5F05" w:rsidRDefault="00FB5F05" w:rsidP="00FB5F05">
      <w:pPr>
        <w:rPr>
          <w:rFonts w:asciiTheme="minorHAnsi" w:hAnsiTheme="minorHAnsi"/>
        </w:rPr>
      </w:pPr>
    </w:p>
    <w:p w14:paraId="2D27C1AB" w14:textId="77777777" w:rsidR="00FB5F05" w:rsidRDefault="00FB5F05" w:rsidP="00FB5F05">
      <w:pPr>
        <w:rPr>
          <w:rFonts w:asciiTheme="minorHAnsi" w:hAnsiTheme="minorHAnsi"/>
        </w:rPr>
      </w:pPr>
    </w:p>
    <w:p w14:paraId="693D7949" w14:textId="1C6C761C" w:rsidR="00FB5F05" w:rsidRDefault="00FB5F05" w:rsidP="00FB5F05">
      <w:pPr>
        <w:rPr>
          <w:rFonts w:asciiTheme="minorHAnsi" w:hAnsiTheme="minorHAnsi"/>
        </w:rPr>
      </w:pPr>
      <w:r>
        <w:rPr>
          <w:rFonts w:asciiTheme="minorHAnsi" w:hAnsiTheme="minorHAnsi"/>
        </w:rPr>
        <w:t xml:space="preserve">PUNKT 9 - </w:t>
      </w:r>
      <w:r w:rsidRPr="00FB5F05">
        <w:rPr>
          <w:rFonts w:asciiTheme="minorHAnsi" w:hAnsiTheme="minorHAnsi"/>
        </w:rPr>
        <w:t>Kommissionen / Kompetenzzentren</w:t>
      </w:r>
    </w:p>
    <w:tbl>
      <w:tblPr>
        <w:tblStyle w:val="Tabellenraster"/>
        <w:tblW w:w="0" w:type="auto"/>
        <w:tblLook w:val="04A0" w:firstRow="1" w:lastRow="0" w:firstColumn="1" w:lastColumn="0" w:noHBand="0" w:noVBand="1"/>
      </w:tblPr>
      <w:tblGrid>
        <w:gridCol w:w="9060"/>
      </w:tblGrid>
      <w:tr w:rsidR="00FB5F05" w:rsidRPr="0013159C" w14:paraId="4A41E552" w14:textId="77777777" w:rsidTr="00DA76A1">
        <w:tc>
          <w:tcPr>
            <w:tcW w:w="9060" w:type="dxa"/>
          </w:tcPr>
          <w:p w14:paraId="7662E040" w14:textId="5010A01B" w:rsidR="00FB5F05" w:rsidRPr="0013159C" w:rsidRDefault="00FB5F05" w:rsidP="00FB5F05">
            <w:pPr>
              <w:rPr>
                <w:rFonts w:asciiTheme="minorHAnsi" w:hAnsiTheme="minorHAnsi"/>
                <w:b/>
                <w:bCs/>
              </w:rPr>
            </w:pPr>
            <w:r w:rsidRPr="0013159C">
              <w:rPr>
                <w:b/>
                <w:bCs/>
              </w:rPr>
              <w:t>Wesentliche Einrichtungen sind bereits im Landesgesetz zu erwähnen und ihre Rolle ist dort zu verankern.</w:t>
            </w:r>
          </w:p>
        </w:tc>
      </w:tr>
      <w:tr w:rsidR="00FB5F05" w14:paraId="7C4F4147" w14:textId="77777777" w:rsidTr="00DA76A1">
        <w:tc>
          <w:tcPr>
            <w:tcW w:w="9060" w:type="dxa"/>
          </w:tcPr>
          <w:p w14:paraId="5D074E2F" w14:textId="023B09D0" w:rsidR="00FB5F05" w:rsidRDefault="00FB5F05" w:rsidP="00FB5F05">
            <w:pPr>
              <w:rPr>
                <w:rFonts w:asciiTheme="minorHAnsi" w:hAnsiTheme="minorHAnsi"/>
              </w:rPr>
            </w:pPr>
            <w:r w:rsidRPr="00377D1C">
              <w:lastRenderedPageBreak/>
              <w:t>In den Mieterkommissionen sollten anstellen des Vertrete</w:t>
            </w:r>
            <w:r w:rsidR="0013159C">
              <w:t>rs</w:t>
            </w:r>
            <w:r w:rsidRPr="00377D1C">
              <w:t xml:space="preserve"> der jeweiligen Gemeinde ein Vertreter des Bezirks sitzen. Dadurch kann die Anzahl der Kommissionen von 116 auf 8 reduziert werden. Gleichzeitig vermisst man andere Kompetenzzentren, z.B. eine Landesagentur für die </w:t>
            </w:r>
            <w:r w:rsidR="0013159C" w:rsidRPr="00377D1C">
              <w:t>Entwicklung</w:t>
            </w:r>
            <w:r w:rsidRPr="00377D1C">
              <w:t xml:space="preserve"> des Wohnbaus, welche den Markt beobachtet und das Angebot und die Nachfrage zusammenbringt, sowie als Beobachtun</w:t>
            </w:r>
            <w:r w:rsidR="0013159C">
              <w:t>g</w:t>
            </w:r>
            <w:r w:rsidRPr="00377D1C">
              <w:t>sstelle fungiert, den Wohnbaubedarf ermittelt, die Gemeindeprogramme koordiniert.</w:t>
            </w:r>
          </w:p>
        </w:tc>
      </w:tr>
    </w:tbl>
    <w:p w14:paraId="078849B1" w14:textId="77777777" w:rsidR="00FB5F05" w:rsidRDefault="00FB5F05" w:rsidP="00FB5F05">
      <w:pPr>
        <w:rPr>
          <w:rFonts w:asciiTheme="minorHAnsi" w:hAnsiTheme="minorHAnsi"/>
        </w:rPr>
      </w:pPr>
    </w:p>
    <w:p w14:paraId="127FB963" w14:textId="77777777" w:rsidR="00FB5F05" w:rsidRDefault="00FB5F05" w:rsidP="00FB5F05">
      <w:pPr>
        <w:rPr>
          <w:rFonts w:asciiTheme="minorHAnsi" w:hAnsiTheme="minorHAnsi"/>
        </w:rPr>
      </w:pPr>
    </w:p>
    <w:p w14:paraId="48F7B347" w14:textId="306FEE6A" w:rsidR="00FB5F05" w:rsidRDefault="00FB5F05" w:rsidP="00FB5F05">
      <w:pPr>
        <w:rPr>
          <w:rFonts w:asciiTheme="minorHAnsi" w:hAnsiTheme="minorHAnsi"/>
        </w:rPr>
      </w:pPr>
      <w:r>
        <w:rPr>
          <w:rFonts w:asciiTheme="minorHAnsi" w:hAnsiTheme="minorHAnsi"/>
        </w:rPr>
        <w:t xml:space="preserve">PUNKT </w:t>
      </w:r>
      <w:r w:rsidR="00816579">
        <w:rPr>
          <w:rFonts w:asciiTheme="minorHAnsi" w:hAnsiTheme="minorHAnsi"/>
        </w:rPr>
        <w:t>10</w:t>
      </w:r>
      <w:r>
        <w:rPr>
          <w:rFonts w:asciiTheme="minorHAnsi" w:hAnsiTheme="minorHAnsi"/>
        </w:rPr>
        <w:t xml:space="preserve"> - </w:t>
      </w:r>
      <w:r w:rsidR="00816579" w:rsidRPr="00816579">
        <w:rPr>
          <w:rFonts w:asciiTheme="minorHAnsi" w:hAnsiTheme="minorHAnsi"/>
        </w:rPr>
        <w:t>Nachfolge</w:t>
      </w:r>
    </w:p>
    <w:tbl>
      <w:tblPr>
        <w:tblStyle w:val="Tabellenraster"/>
        <w:tblW w:w="0" w:type="auto"/>
        <w:tblLook w:val="04A0" w:firstRow="1" w:lastRow="0" w:firstColumn="1" w:lastColumn="0" w:noHBand="0" w:noVBand="1"/>
      </w:tblPr>
      <w:tblGrid>
        <w:gridCol w:w="9060"/>
      </w:tblGrid>
      <w:tr w:rsidR="00816579" w:rsidRPr="0013159C" w14:paraId="2445DEE4" w14:textId="77777777" w:rsidTr="00DA76A1">
        <w:tc>
          <w:tcPr>
            <w:tcW w:w="9060" w:type="dxa"/>
          </w:tcPr>
          <w:p w14:paraId="61A579FE" w14:textId="263B23EA" w:rsidR="00816579" w:rsidRPr="0013159C" w:rsidRDefault="00816579" w:rsidP="00816579">
            <w:pPr>
              <w:rPr>
                <w:rFonts w:asciiTheme="minorHAnsi" w:hAnsiTheme="minorHAnsi"/>
                <w:b/>
                <w:bCs/>
              </w:rPr>
            </w:pPr>
            <w:r w:rsidRPr="0013159C">
              <w:rPr>
                <w:b/>
                <w:bCs/>
              </w:rPr>
              <w:t>Übertragung von Sozialwohnungen an die Kinder von Anspruchsberechtigten nur unter gewissen Voraussetzungen</w:t>
            </w:r>
          </w:p>
        </w:tc>
      </w:tr>
      <w:tr w:rsidR="00816579" w14:paraId="2338E5F9" w14:textId="77777777" w:rsidTr="00DA76A1">
        <w:tc>
          <w:tcPr>
            <w:tcW w:w="9060" w:type="dxa"/>
          </w:tcPr>
          <w:p w14:paraId="27848D99" w14:textId="45DD8932" w:rsidR="00816579" w:rsidRDefault="00816579" w:rsidP="00816579">
            <w:pPr>
              <w:rPr>
                <w:rFonts w:asciiTheme="minorHAnsi" w:hAnsiTheme="minorHAnsi"/>
              </w:rPr>
            </w:pPr>
            <w:r w:rsidRPr="006D407D">
              <w:t>Die Mietverträge der Wohnungen sollten nur dann an Kinder weitergegeben werden können, wenn sie die sozioökonomischen Voraussetzungen für eine Sozialwohnung erfüllen und seit 5 oder mehr Jahren in der Wohnung der Eltern wohnen. Die Anwendbarkeit auf bestehenden Verträgen ist zu prüfen. Für besonders belastende Fälle (häusliche Gewalt, Behinderung, Drogenabhängigkeit usw.) sind Ausnahmen vorzusehen.</w:t>
            </w:r>
          </w:p>
        </w:tc>
      </w:tr>
    </w:tbl>
    <w:p w14:paraId="58DB4E8F" w14:textId="77777777" w:rsidR="00FB5F05" w:rsidRDefault="00FB5F05" w:rsidP="00FB5F05">
      <w:pPr>
        <w:rPr>
          <w:rFonts w:asciiTheme="minorHAnsi" w:hAnsiTheme="minorHAnsi"/>
        </w:rPr>
      </w:pPr>
    </w:p>
    <w:p w14:paraId="70619A44" w14:textId="77777777" w:rsidR="00FB5F05" w:rsidRDefault="00FB5F05" w:rsidP="00FB5F05">
      <w:pPr>
        <w:rPr>
          <w:rFonts w:asciiTheme="minorHAnsi" w:hAnsiTheme="minorHAnsi"/>
        </w:rPr>
      </w:pPr>
    </w:p>
    <w:p w14:paraId="6B680621" w14:textId="5DAC4F75" w:rsidR="00FB5F05" w:rsidRDefault="00FB5F05" w:rsidP="00FB5F05">
      <w:pPr>
        <w:rPr>
          <w:rFonts w:asciiTheme="minorHAnsi" w:hAnsiTheme="minorHAnsi"/>
        </w:rPr>
      </w:pPr>
      <w:r>
        <w:rPr>
          <w:rFonts w:asciiTheme="minorHAnsi" w:hAnsiTheme="minorHAnsi"/>
        </w:rPr>
        <w:t xml:space="preserve">PUNKT </w:t>
      </w:r>
      <w:r w:rsidR="00816579">
        <w:rPr>
          <w:rFonts w:asciiTheme="minorHAnsi" w:hAnsiTheme="minorHAnsi"/>
        </w:rPr>
        <w:t>11</w:t>
      </w:r>
      <w:r>
        <w:rPr>
          <w:rFonts w:asciiTheme="minorHAnsi" w:hAnsiTheme="minorHAnsi"/>
        </w:rPr>
        <w:t xml:space="preserve"> - </w:t>
      </w:r>
      <w:r w:rsidR="00816579" w:rsidRPr="00816579">
        <w:rPr>
          <w:rFonts w:asciiTheme="minorHAnsi" w:hAnsiTheme="minorHAnsi"/>
        </w:rPr>
        <w:t xml:space="preserve">Qualität </w:t>
      </w:r>
      <w:r w:rsidR="00257761">
        <w:rPr>
          <w:rFonts w:asciiTheme="minorHAnsi" w:hAnsiTheme="minorHAnsi"/>
        </w:rPr>
        <w:t>geht</w:t>
      </w:r>
      <w:r w:rsidR="00816579" w:rsidRPr="00816579">
        <w:rPr>
          <w:rFonts w:asciiTheme="minorHAnsi" w:hAnsiTheme="minorHAnsi"/>
        </w:rPr>
        <w:t xml:space="preserve"> vor</w:t>
      </w:r>
      <w:r w:rsidR="00257761">
        <w:rPr>
          <w:rFonts w:asciiTheme="minorHAnsi" w:hAnsiTheme="minorHAnsi"/>
        </w:rPr>
        <w:t>. Kein</w:t>
      </w:r>
      <w:r w:rsidR="00816579" w:rsidRPr="00816579">
        <w:rPr>
          <w:rFonts w:asciiTheme="minorHAnsi" w:hAnsiTheme="minorHAnsi"/>
        </w:rPr>
        <w:t xml:space="preserve"> Zeitdruck</w:t>
      </w:r>
    </w:p>
    <w:tbl>
      <w:tblPr>
        <w:tblStyle w:val="Tabellenraster"/>
        <w:tblW w:w="0" w:type="auto"/>
        <w:tblLook w:val="04A0" w:firstRow="1" w:lastRow="0" w:firstColumn="1" w:lastColumn="0" w:noHBand="0" w:noVBand="1"/>
      </w:tblPr>
      <w:tblGrid>
        <w:gridCol w:w="9060"/>
      </w:tblGrid>
      <w:tr w:rsidR="00816579" w:rsidRPr="0013159C" w14:paraId="35D946F6" w14:textId="77777777" w:rsidTr="00DA76A1">
        <w:tc>
          <w:tcPr>
            <w:tcW w:w="9060" w:type="dxa"/>
          </w:tcPr>
          <w:p w14:paraId="10C021B1" w14:textId="66BC32E1" w:rsidR="00816579" w:rsidRPr="0013159C" w:rsidRDefault="00816579" w:rsidP="00816579">
            <w:pPr>
              <w:rPr>
                <w:rFonts w:asciiTheme="minorHAnsi" w:hAnsiTheme="minorHAnsi"/>
                <w:b/>
                <w:bCs/>
              </w:rPr>
            </w:pPr>
            <w:r w:rsidRPr="0013159C">
              <w:rPr>
                <w:b/>
                <w:bCs/>
              </w:rPr>
              <w:t>Südtirol braucht ein gutes neues Gesetz zum sozialen und öffentlichen Wohnbau, nicht ein eilig verabschiedetes. Es gilt das Prinzip: gut Ding braucht Weile.</w:t>
            </w:r>
          </w:p>
        </w:tc>
      </w:tr>
      <w:tr w:rsidR="00816579" w14:paraId="47B3D281" w14:textId="77777777" w:rsidTr="00DA76A1">
        <w:tc>
          <w:tcPr>
            <w:tcW w:w="9060" w:type="dxa"/>
          </w:tcPr>
          <w:p w14:paraId="6B842607" w14:textId="26759B27" w:rsidR="00816579" w:rsidRDefault="00816579" w:rsidP="00816579">
            <w:pPr>
              <w:rPr>
                <w:rFonts w:asciiTheme="minorHAnsi" w:hAnsiTheme="minorHAnsi"/>
              </w:rPr>
            </w:pPr>
            <w:r w:rsidRPr="00150E2A">
              <w:t xml:space="preserve">Das geltende Gesetz für den sozialen und geförderten Wohnbau aus dem Jahr 1998 ist reformbedürftig, doch in seinen wesentlichen Zügen funktioniert es. </w:t>
            </w:r>
            <w:r w:rsidR="00A50877">
              <w:t xml:space="preserve">Vorschlag: </w:t>
            </w:r>
            <w:r w:rsidR="009D046E" w:rsidRPr="00F4508D">
              <w:rPr>
                <w:rFonts w:asciiTheme="minorHAnsi" w:hAnsiTheme="minorHAnsi"/>
                <w14:ligatures w14:val="none"/>
              </w:rPr>
              <w:t xml:space="preserve">Abwarten, bis im Mai 2022 die Änderungen am Gesetz Raum &amp; Landschaft verabschiedet sind. </w:t>
            </w:r>
            <w:r w:rsidR="009D046E">
              <w:rPr>
                <w:rFonts w:asciiTheme="minorHAnsi" w:hAnsiTheme="minorHAnsi"/>
                <w14:ligatures w14:val="none"/>
              </w:rPr>
              <w:t xml:space="preserve">In der Zwischenzeit, einen </w:t>
            </w:r>
            <w:r w:rsidR="009D046E" w:rsidRPr="00F4508D">
              <w:rPr>
                <w:rFonts w:asciiTheme="minorHAnsi" w:hAnsiTheme="minorHAnsi"/>
                <w14:ligatures w14:val="none"/>
              </w:rPr>
              <w:t xml:space="preserve">Partizipationsprozess mit </w:t>
            </w:r>
            <w:r w:rsidR="009D046E">
              <w:rPr>
                <w:rFonts w:asciiTheme="minorHAnsi" w:hAnsiTheme="minorHAnsi"/>
                <w14:ligatures w14:val="none"/>
              </w:rPr>
              <w:t xml:space="preserve">den </w:t>
            </w:r>
            <w:r w:rsidR="009D046E" w:rsidRPr="00F4508D">
              <w:rPr>
                <w:rFonts w:asciiTheme="minorHAnsi" w:hAnsiTheme="minorHAnsi"/>
                <w14:ligatures w14:val="none"/>
              </w:rPr>
              <w:t xml:space="preserve">Sozialpartnern anstoßen. Auf </w:t>
            </w:r>
            <w:r w:rsidR="009D046E">
              <w:rPr>
                <w:rFonts w:asciiTheme="minorHAnsi" w:hAnsiTheme="minorHAnsi"/>
                <w14:ligatures w14:val="none"/>
              </w:rPr>
              <w:t>der späteren</w:t>
            </w:r>
            <w:r w:rsidR="009D046E" w:rsidRPr="00F4508D">
              <w:rPr>
                <w:rFonts w:asciiTheme="minorHAnsi" w:hAnsiTheme="minorHAnsi"/>
                <w14:ligatures w14:val="none"/>
              </w:rPr>
              <w:t>, solide</w:t>
            </w:r>
            <w:r w:rsidR="009D046E">
              <w:rPr>
                <w:rFonts w:asciiTheme="minorHAnsi" w:hAnsiTheme="minorHAnsi"/>
                <w14:ligatures w14:val="none"/>
              </w:rPr>
              <w:t>ren normativen</w:t>
            </w:r>
            <w:r w:rsidR="009D046E" w:rsidRPr="00F4508D">
              <w:rPr>
                <w:rFonts w:asciiTheme="minorHAnsi" w:hAnsiTheme="minorHAnsi"/>
                <w14:ligatures w14:val="none"/>
              </w:rPr>
              <w:t xml:space="preserve"> Basis, das Gesetz "Öffentlicher und sozialer Wohnbau" neu aufsetzen.</w:t>
            </w:r>
          </w:p>
        </w:tc>
      </w:tr>
    </w:tbl>
    <w:p w14:paraId="55FCDC6E" w14:textId="60662154" w:rsidR="00FB5F05" w:rsidRDefault="00FB5F05" w:rsidP="001E41FF">
      <w:pPr>
        <w:rPr>
          <w:rFonts w:asciiTheme="minorHAnsi" w:hAnsiTheme="minorHAnsi"/>
        </w:rPr>
      </w:pPr>
    </w:p>
    <w:p w14:paraId="491977B2" w14:textId="77777777" w:rsidR="00257761" w:rsidRDefault="00257761" w:rsidP="001E41FF">
      <w:pPr>
        <w:rPr>
          <w:rFonts w:asciiTheme="minorHAnsi" w:hAnsiTheme="minorHAnsi"/>
        </w:rPr>
      </w:pPr>
    </w:p>
    <w:p w14:paraId="717822F8" w14:textId="7111BBE1" w:rsidR="00257761" w:rsidRPr="00257761" w:rsidRDefault="00257761" w:rsidP="00257761">
      <w:pPr>
        <w:rPr>
          <w:rFonts w:asciiTheme="minorHAnsi" w:hAnsiTheme="minorHAnsi"/>
          <w:u w:val="single"/>
        </w:rPr>
      </w:pPr>
      <w:r w:rsidRPr="00257761">
        <w:rPr>
          <w:rFonts w:asciiTheme="minorHAnsi" w:hAnsiTheme="minorHAnsi"/>
          <w:u w:val="single"/>
        </w:rPr>
        <w:t>AFI-Arbeitstisch "Öffentlicher und sozialer Wohnbau"</w:t>
      </w:r>
    </w:p>
    <w:p w14:paraId="4446E22B" w14:textId="77777777" w:rsidR="008D6874" w:rsidRPr="006C0A9B" w:rsidRDefault="008D6874" w:rsidP="008D6874">
      <w:pPr>
        <w:rPr>
          <w:rFonts w:asciiTheme="minorHAnsi" w:hAnsiTheme="minorHAnsi"/>
          <w:lang w:val="it-IT"/>
        </w:rPr>
      </w:pPr>
      <w:r w:rsidRPr="006C0A9B">
        <w:rPr>
          <w:rFonts w:asciiTheme="minorHAnsi" w:hAnsiTheme="minorHAnsi"/>
          <w:lang w:val="it-IT"/>
        </w:rPr>
        <w:t>Donatella Califano (SGB</w:t>
      </w:r>
      <w:r w:rsidRPr="00A56813">
        <w:rPr>
          <w:rFonts w:asciiTheme="minorHAnsi" w:hAnsiTheme="minorHAnsi"/>
          <w:i/>
          <w:iCs/>
          <w:lang w:val="it-IT"/>
        </w:rPr>
        <w:t>CISL</w:t>
      </w:r>
      <w:r w:rsidRPr="006C0A9B">
        <w:rPr>
          <w:rFonts w:asciiTheme="minorHAnsi" w:hAnsiTheme="minorHAnsi"/>
          <w:lang w:val="it-IT"/>
        </w:rPr>
        <w:t>)</w:t>
      </w:r>
    </w:p>
    <w:p w14:paraId="6E5F6A8E" w14:textId="77777777" w:rsidR="008D6874" w:rsidRDefault="008D6874" w:rsidP="008D6874">
      <w:pPr>
        <w:rPr>
          <w:rFonts w:asciiTheme="minorHAnsi" w:hAnsiTheme="minorHAnsi"/>
          <w:lang w:val="it-IT"/>
        </w:rPr>
      </w:pPr>
      <w:r>
        <w:rPr>
          <w:rFonts w:asciiTheme="minorHAnsi" w:hAnsiTheme="minorHAnsi"/>
          <w:lang w:val="it-IT"/>
        </w:rPr>
        <w:t xml:space="preserve">Dodo </w:t>
      </w:r>
      <w:proofErr w:type="spellStart"/>
      <w:r>
        <w:rPr>
          <w:rFonts w:asciiTheme="minorHAnsi" w:hAnsiTheme="minorHAnsi"/>
          <w:lang w:val="it-IT"/>
        </w:rPr>
        <w:t>Detassis</w:t>
      </w:r>
      <w:proofErr w:type="spellEnd"/>
      <w:r>
        <w:rPr>
          <w:rFonts w:asciiTheme="minorHAnsi" w:hAnsiTheme="minorHAnsi"/>
          <w:lang w:val="it-IT"/>
        </w:rPr>
        <w:t xml:space="preserve"> (UIL-SGK)</w:t>
      </w:r>
    </w:p>
    <w:p w14:paraId="5D87A8BE" w14:textId="50DF59BB" w:rsidR="008D6874" w:rsidRDefault="008D6874" w:rsidP="008D6874">
      <w:pPr>
        <w:rPr>
          <w:rFonts w:asciiTheme="minorHAnsi" w:hAnsiTheme="minorHAnsi"/>
          <w:lang w:val="it-IT"/>
        </w:rPr>
      </w:pPr>
      <w:r>
        <w:rPr>
          <w:rFonts w:asciiTheme="minorHAnsi" w:hAnsiTheme="minorHAnsi"/>
          <w:lang w:val="it-IT"/>
        </w:rPr>
        <w:t>Andreas Dorigoni (ASGB)</w:t>
      </w:r>
    </w:p>
    <w:p w14:paraId="23824B8E" w14:textId="69DB237A" w:rsidR="000F25E1" w:rsidRDefault="000F25E1" w:rsidP="008D6874">
      <w:pPr>
        <w:rPr>
          <w:rFonts w:asciiTheme="minorHAnsi" w:hAnsiTheme="minorHAnsi"/>
          <w:lang w:val="it-IT"/>
        </w:rPr>
      </w:pPr>
      <w:r>
        <w:rPr>
          <w:rFonts w:asciiTheme="minorHAnsi" w:hAnsiTheme="minorHAnsi"/>
          <w:lang w:val="it-IT"/>
        </w:rPr>
        <w:t>Josef Lazzari (CGIL/AGB)</w:t>
      </w:r>
    </w:p>
    <w:p w14:paraId="3861753D" w14:textId="383DF7C8" w:rsidR="008D6874" w:rsidRPr="006C0A9B" w:rsidRDefault="008D6874" w:rsidP="008D6874">
      <w:pPr>
        <w:rPr>
          <w:rFonts w:asciiTheme="minorHAnsi" w:hAnsiTheme="minorHAnsi"/>
          <w:lang w:val="it-IT"/>
        </w:rPr>
      </w:pPr>
      <w:r w:rsidRPr="006C0A9B">
        <w:rPr>
          <w:rFonts w:asciiTheme="minorHAnsi" w:hAnsiTheme="minorHAnsi"/>
          <w:lang w:val="it-IT"/>
        </w:rPr>
        <w:t>Doriana Pavanello (CGIL</w:t>
      </w:r>
      <w:r w:rsidR="000F25E1">
        <w:rPr>
          <w:rFonts w:asciiTheme="minorHAnsi" w:hAnsiTheme="minorHAnsi"/>
          <w:lang w:val="it-IT"/>
        </w:rPr>
        <w:t>/</w:t>
      </w:r>
      <w:r w:rsidRPr="006C0A9B">
        <w:rPr>
          <w:rFonts w:asciiTheme="minorHAnsi" w:hAnsiTheme="minorHAnsi"/>
          <w:lang w:val="it-IT"/>
        </w:rPr>
        <w:t>AGB)</w:t>
      </w:r>
    </w:p>
    <w:p w14:paraId="0DDB7470" w14:textId="77777777" w:rsidR="008D6874" w:rsidRPr="006C0A9B" w:rsidRDefault="008D6874" w:rsidP="008D6874">
      <w:pPr>
        <w:rPr>
          <w:rFonts w:asciiTheme="minorHAnsi" w:hAnsiTheme="minorHAnsi"/>
        </w:rPr>
      </w:pPr>
      <w:r w:rsidRPr="006C0A9B">
        <w:rPr>
          <w:rFonts w:asciiTheme="minorHAnsi" w:hAnsiTheme="minorHAnsi"/>
        </w:rPr>
        <w:t>Herbert Schatzer (KVW)</w:t>
      </w:r>
    </w:p>
    <w:p w14:paraId="370EA6E8" w14:textId="77777777" w:rsidR="008D6874" w:rsidRPr="006C0A9B" w:rsidRDefault="008D6874" w:rsidP="008D6874">
      <w:pPr>
        <w:rPr>
          <w:rFonts w:asciiTheme="minorHAnsi" w:hAnsiTheme="minorHAnsi"/>
        </w:rPr>
      </w:pPr>
      <w:r w:rsidRPr="006C0A9B">
        <w:rPr>
          <w:rFonts w:asciiTheme="minorHAnsi" w:hAnsiTheme="minorHAnsi"/>
        </w:rPr>
        <w:t>Leo Resch (KVW Arche)</w:t>
      </w:r>
    </w:p>
    <w:p w14:paraId="4825F14A" w14:textId="41D664B0" w:rsidR="008D6874" w:rsidRDefault="008D6874" w:rsidP="008D6874">
      <w:pPr>
        <w:rPr>
          <w:rFonts w:asciiTheme="minorHAnsi" w:hAnsiTheme="minorHAnsi"/>
          <w:lang w:val="it-IT"/>
        </w:rPr>
      </w:pPr>
      <w:r w:rsidRPr="006C0A9B">
        <w:rPr>
          <w:rFonts w:asciiTheme="minorHAnsi" w:hAnsiTheme="minorHAnsi"/>
          <w:lang w:val="it-IT"/>
        </w:rPr>
        <w:t>Luciano Nervo (ACLI)</w:t>
      </w:r>
    </w:p>
    <w:p w14:paraId="58E18383" w14:textId="48E9EABE" w:rsidR="000F25E1" w:rsidRPr="006C0A9B" w:rsidRDefault="000F25E1" w:rsidP="008D6874">
      <w:pPr>
        <w:rPr>
          <w:rFonts w:asciiTheme="minorHAnsi" w:hAnsiTheme="minorHAnsi"/>
          <w:lang w:val="it-IT"/>
        </w:rPr>
      </w:pPr>
      <w:r>
        <w:rPr>
          <w:rFonts w:asciiTheme="minorHAnsi" w:hAnsiTheme="minorHAnsi"/>
          <w:lang w:val="it-IT"/>
        </w:rPr>
        <w:t>Alexander Pancheri (SGB</w:t>
      </w:r>
      <w:r w:rsidRPr="000F25E1">
        <w:rPr>
          <w:rFonts w:asciiTheme="minorHAnsi" w:hAnsiTheme="minorHAnsi"/>
          <w:i/>
          <w:iCs/>
          <w:lang w:val="it-IT"/>
        </w:rPr>
        <w:t>CISL</w:t>
      </w:r>
      <w:r>
        <w:rPr>
          <w:rFonts w:asciiTheme="minorHAnsi" w:hAnsiTheme="minorHAnsi"/>
          <w:lang w:val="it-IT"/>
        </w:rPr>
        <w:t>)</w:t>
      </w:r>
    </w:p>
    <w:p w14:paraId="72A68A02" w14:textId="1C1C547A" w:rsidR="008D6874" w:rsidRPr="006C0A9B" w:rsidRDefault="008D6874" w:rsidP="008D6874">
      <w:pPr>
        <w:rPr>
          <w:rFonts w:asciiTheme="minorHAnsi" w:hAnsiTheme="minorHAnsi"/>
          <w:lang w:val="it-IT"/>
        </w:rPr>
      </w:pPr>
      <w:r w:rsidRPr="006C0A9B">
        <w:rPr>
          <w:rFonts w:asciiTheme="minorHAnsi" w:hAnsiTheme="minorHAnsi"/>
          <w:lang w:val="it-IT"/>
        </w:rPr>
        <w:t>Maurizio Surian (CGIL</w:t>
      </w:r>
      <w:r w:rsidR="000F25E1">
        <w:rPr>
          <w:rFonts w:asciiTheme="minorHAnsi" w:hAnsiTheme="minorHAnsi"/>
          <w:lang w:val="it-IT"/>
        </w:rPr>
        <w:t>/</w:t>
      </w:r>
      <w:r w:rsidRPr="006C0A9B">
        <w:rPr>
          <w:rFonts w:asciiTheme="minorHAnsi" w:hAnsiTheme="minorHAnsi"/>
          <w:lang w:val="it-IT"/>
        </w:rPr>
        <w:t>AGB &amp; Centro casa)</w:t>
      </w:r>
    </w:p>
    <w:p w14:paraId="7A095EAB" w14:textId="77777777" w:rsidR="008D6874" w:rsidRPr="008D6874" w:rsidRDefault="008D6874" w:rsidP="008D6874">
      <w:pPr>
        <w:rPr>
          <w:rFonts w:asciiTheme="minorHAnsi" w:hAnsiTheme="minorHAnsi"/>
          <w:lang w:val="en-US"/>
        </w:rPr>
      </w:pPr>
      <w:r w:rsidRPr="008D6874">
        <w:rPr>
          <w:rFonts w:asciiTheme="minorHAnsi" w:hAnsiTheme="minorHAnsi"/>
          <w:lang w:val="en-US"/>
        </w:rPr>
        <w:lastRenderedPageBreak/>
        <w:t>Christian Troger (UIL-SGK)</w:t>
      </w:r>
    </w:p>
    <w:p w14:paraId="5481AE58" w14:textId="77777777" w:rsidR="008D6874" w:rsidRPr="008D6874" w:rsidRDefault="008D6874" w:rsidP="008D6874">
      <w:pPr>
        <w:rPr>
          <w:rFonts w:asciiTheme="minorHAnsi" w:hAnsiTheme="minorHAnsi"/>
          <w:lang w:val="en-US"/>
        </w:rPr>
      </w:pPr>
      <w:r w:rsidRPr="008D6874">
        <w:rPr>
          <w:rFonts w:asciiTheme="minorHAnsi" w:hAnsiTheme="minorHAnsi"/>
          <w:lang w:val="en-US"/>
        </w:rPr>
        <w:t>Tony Tschenett (ASGB)</w:t>
      </w:r>
    </w:p>
    <w:p w14:paraId="48EA3E40" w14:textId="77777777" w:rsidR="00257761" w:rsidRPr="008D6874" w:rsidRDefault="00257761" w:rsidP="00257761">
      <w:pPr>
        <w:rPr>
          <w:rFonts w:asciiTheme="minorHAnsi" w:hAnsiTheme="minorHAnsi"/>
          <w:lang w:val="en-US"/>
        </w:rPr>
      </w:pPr>
    </w:p>
    <w:p w14:paraId="5D630327" w14:textId="77777777" w:rsidR="00257761" w:rsidRPr="00257761" w:rsidRDefault="00257761" w:rsidP="00257761">
      <w:pPr>
        <w:rPr>
          <w:rFonts w:asciiTheme="minorHAnsi" w:hAnsiTheme="minorHAnsi"/>
          <w:u w:val="single"/>
        </w:rPr>
      </w:pPr>
      <w:r w:rsidRPr="00257761">
        <w:rPr>
          <w:rFonts w:asciiTheme="minorHAnsi" w:hAnsiTheme="minorHAnsi"/>
          <w:u w:val="single"/>
        </w:rPr>
        <w:t>Koordinierung der Arbeiten und Textverfassung</w:t>
      </w:r>
    </w:p>
    <w:p w14:paraId="613F8346" w14:textId="3A7CCA35" w:rsidR="008B4E9D" w:rsidRPr="00513018" w:rsidRDefault="00257761" w:rsidP="00257761">
      <w:pPr>
        <w:rPr>
          <w:rFonts w:asciiTheme="minorHAnsi" w:hAnsiTheme="minorHAnsi"/>
          <w:lang w:val="de-AT"/>
        </w:rPr>
      </w:pPr>
      <w:r w:rsidRPr="00513018">
        <w:rPr>
          <w:rFonts w:asciiTheme="minorHAnsi" w:hAnsiTheme="minorHAnsi"/>
          <w:lang w:val="de-AT"/>
        </w:rPr>
        <w:t>Stefan Perini (AFI)</w:t>
      </w:r>
    </w:p>
    <w:sectPr w:rsidR="008B4E9D" w:rsidRPr="00513018" w:rsidSect="008A3999">
      <w:headerReference w:type="default" r:id="rId8"/>
      <w:footerReference w:type="default" r:id="rId9"/>
      <w:headerReference w:type="first" r:id="rId10"/>
      <w:footerReference w:type="first" r:id="rId11"/>
      <w:pgSz w:w="11906" w:h="16838" w:code="9"/>
      <w:pgMar w:top="2268" w:right="1418" w:bottom="1134" w:left="1418"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69D6" w14:textId="77777777" w:rsidR="00865061" w:rsidRDefault="00865061" w:rsidP="007E454C">
      <w:r>
        <w:separator/>
      </w:r>
    </w:p>
  </w:endnote>
  <w:endnote w:type="continuationSeparator" w:id="0">
    <w:p w14:paraId="40D90479" w14:textId="77777777" w:rsidR="00865061" w:rsidRDefault="00865061" w:rsidP="007E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DagnyPro-Bold">
    <w:altName w:val="DagnyPro-Bold"/>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44DB" w14:textId="77777777" w:rsidR="008A3999" w:rsidRDefault="008A3999" w:rsidP="008A3999">
    <w:pPr>
      <w:jc w:val="right"/>
      <w:rPr>
        <w:sz w:val="18"/>
        <w:szCs w:val="18"/>
      </w:rPr>
    </w:pPr>
    <w:r w:rsidRPr="005C2037">
      <w:rPr>
        <w:sz w:val="18"/>
        <w:szCs w:val="18"/>
      </w:rPr>
      <w:fldChar w:fldCharType="begin"/>
    </w:r>
    <w:r w:rsidRPr="005C2037">
      <w:rPr>
        <w:sz w:val="18"/>
        <w:szCs w:val="18"/>
      </w:rPr>
      <w:instrText>PAGE   \* MERGEFORMAT</w:instrText>
    </w:r>
    <w:r w:rsidRPr="005C2037">
      <w:rPr>
        <w:sz w:val="18"/>
        <w:szCs w:val="18"/>
      </w:rPr>
      <w:fldChar w:fldCharType="separate"/>
    </w:r>
    <w:r w:rsidR="00D03D58" w:rsidRPr="00D03D58">
      <w:rPr>
        <w:noProof/>
        <w:sz w:val="18"/>
        <w:szCs w:val="18"/>
        <w:lang w:val="it-IT"/>
      </w:rPr>
      <w:t>2</w:t>
    </w:r>
    <w:r w:rsidRPr="005C2037">
      <w:rPr>
        <w:sz w:val="18"/>
        <w:szCs w:val="18"/>
      </w:rPr>
      <w:fldChar w:fldCharType="end"/>
    </w:r>
    <w:r>
      <w:rPr>
        <w:sz w:val="18"/>
        <w:szCs w:val="18"/>
      </w:rPr>
      <w:t xml:space="preserve"> | </w:t>
    </w:r>
    <w:r>
      <w:rPr>
        <w:sz w:val="18"/>
        <w:szCs w:val="18"/>
      </w:rPr>
      <w:fldChar w:fldCharType="begin"/>
    </w:r>
    <w:r>
      <w:rPr>
        <w:sz w:val="18"/>
        <w:szCs w:val="18"/>
      </w:rPr>
      <w:instrText xml:space="preserve"> NUMPAGES   \* MERGEFORMAT </w:instrText>
    </w:r>
    <w:r>
      <w:rPr>
        <w:sz w:val="18"/>
        <w:szCs w:val="18"/>
      </w:rPr>
      <w:fldChar w:fldCharType="separate"/>
    </w:r>
    <w:r w:rsidR="00D03D58">
      <w:rPr>
        <w:noProof/>
        <w:sz w:val="18"/>
        <w:szCs w:val="18"/>
      </w:rPr>
      <w:t>2</w:t>
    </w:r>
    <w:r>
      <w:rPr>
        <w:sz w:val="18"/>
        <w:szCs w:val="18"/>
      </w:rPr>
      <w:fldChar w:fldCharType="end"/>
    </w:r>
  </w:p>
  <w:p w14:paraId="7C656E88" w14:textId="77777777" w:rsidR="00236EB7" w:rsidRDefault="00236EB7" w:rsidP="00236EB7">
    <w:pPr>
      <w:pStyle w:val="Fuzeile"/>
      <w:rPr>
        <w:sz w:val="22"/>
        <w:szCs w:val="22"/>
        <w:lang w:val="it-IT"/>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1"/>
      <w:gridCol w:w="2111"/>
      <w:gridCol w:w="2281"/>
    </w:tblGrid>
    <w:tr w:rsidR="00236EB7" w:rsidRPr="00877F3E" w14:paraId="31C6BD0D" w14:textId="77777777" w:rsidTr="00236EB7">
      <w:trPr>
        <w:trHeight w:val="558"/>
      </w:trPr>
      <w:tc>
        <w:tcPr>
          <w:tcW w:w="2269" w:type="dxa"/>
          <w:tcBorders>
            <w:top w:val="single" w:sz="2" w:space="0" w:color="A2AAB3" w:themeColor="accent3"/>
            <w:left w:val="nil"/>
            <w:bottom w:val="nil"/>
            <w:right w:val="nil"/>
          </w:tcBorders>
          <w:tcMar>
            <w:top w:w="0" w:type="dxa"/>
            <w:left w:w="0" w:type="dxa"/>
            <w:bottom w:w="0" w:type="dxa"/>
            <w:right w:w="0" w:type="dxa"/>
          </w:tcMar>
        </w:tcPr>
        <w:p w14:paraId="5A4E439A" w14:textId="77777777" w:rsidR="00236EB7" w:rsidRPr="00236EB7" w:rsidRDefault="00236EB7" w:rsidP="00AA3C7B">
          <w:pPr>
            <w:pStyle w:val="AFI-Daten"/>
          </w:pPr>
        </w:p>
        <w:p w14:paraId="07844FE1" w14:textId="77777777" w:rsidR="00236EB7" w:rsidRPr="00236EB7" w:rsidRDefault="00236EB7" w:rsidP="00AA3C7B">
          <w:pPr>
            <w:pStyle w:val="AFI-Daten"/>
            <w:rPr>
              <w:rFonts w:cs="DagnyPro-Bold"/>
              <w:b/>
            </w:rPr>
          </w:pPr>
          <w:r w:rsidRPr="00236EB7">
            <w:rPr>
              <w:rFonts w:cs="DagnyPro-Bold"/>
              <w:b/>
            </w:rPr>
            <w:t>AFI | Arbeitsförderungsinstitut</w:t>
          </w:r>
        </w:p>
        <w:p w14:paraId="79F9118C" w14:textId="77777777" w:rsidR="00236EB7" w:rsidRPr="00236EB7" w:rsidRDefault="00236EB7" w:rsidP="00AA3C7B">
          <w:pPr>
            <w:pStyle w:val="AFI-Daten"/>
          </w:pPr>
          <w:r w:rsidRPr="00236EB7">
            <w:rPr>
              <w:rFonts w:cs="DagnyPro-Bold"/>
            </w:rPr>
            <w:t>Landhaus 12</w:t>
          </w:r>
        </w:p>
        <w:p w14:paraId="63232B82" w14:textId="77777777" w:rsidR="00236EB7" w:rsidRPr="00236EB7" w:rsidRDefault="00236EB7" w:rsidP="00AA3C7B">
          <w:pPr>
            <w:pStyle w:val="AFI-Daten"/>
          </w:pPr>
          <w:r w:rsidRPr="00236EB7">
            <w:rPr>
              <w:rFonts w:cs="DagnyPro-Bold"/>
            </w:rPr>
            <w:t>Kanonikus-Michael-Gamper-Str. 1</w:t>
          </w:r>
        </w:p>
        <w:p w14:paraId="5748F99C" w14:textId="77777777" w:rsidR="00236EB7" w:rsidRPr="00236EB7" w:rsidRDefault="00236EB7" w:rsidP="008129BE">
          <w:pPr>
            <w:pStyle w:val="AFI-Daten"/>
          </w:pPr>
          <w:r w:rsidRPr="00236EB7">
            <w:rPr>
              <w:rFonts w:cs="DagnyPro-Bold"/>
            </w:rPr>
            <w:t xml:space="preserve">I </w:t>
          </w:r>
          <w:r w:rsidR="008129BE">
            <w:rPr>
              <w:rFonts w:cs="DagnyPro-Bold"/>
            </w:rPr>
            <w:t xml:space="preserve">- </w:t>
          </w:r>
          <w:r w:rsidRPr="00236EB7">
            <w:rPr>
              <w:rFonts w:cs="DagnyPro-Bold"/>
            </w:rPr>
            <w:t>39100 Bozen</w:t>
          </w:r>
        </w:p>
      </w:tc>
      <w:tc>
        <w:tcPr>
          <w:tcW w:w="2551" w:type="dxa"/>
          <w:tcBorders>
            <w:top w:val="single" w:sz="2" w:space="0" w:color="A2AAB3" w:themeColor="accent3"/>
            <w:left w:val="nil"/>
            <w:bottom w:val="nil"/>
            <w:right w:val="nil"/>
          </w:tcBorders>
          <w:tcMar>
            <w:top w:w="0" w:type="dxa"/>
            <w:left w:w="0" w:type="dxa"/>
            <w:bottom w:w="0" w:type="dxa"/>
            <w:right w:w="0" w:type="dxa"/>
          </w:tcMar>
        </w:tcPr>
        <w:p w14:paraId="259CB848" w14:textId="77777777" w:rsidR="00236EB7" w:rsidRPr="00236EB7" w:rsidRDefault="00236EB7" w:rsidP="00AA3C7B">
          <w:pPr>
            <w:pStyle w:val="AFI-Daten"/>
            <w:rPr>
              <w:lang w:val="it-IT"/>
            </w:rPr>
          </w:pPr>
        </w:p>
        <w:p w14:paraId="08565722" w14:textId="77777777" w:rsidR="00236EB7" w:rsidRPr="00236EB7" w:rsidRDefault="00236EB7" w:rsidP="00AA3C7B">
          <w:pPr>
            <w:pStyle w:val="AFI-Daten"/>
            <w:rPr>
              <w:b/>
              <w:lang w:val="it-IT"/>
            </w:rPr>
          </w:pPr>
          <w:r w:rsidRPr="00236EB7">
            <w:rPr>
              <w:rFonts w:cs="DagnyPro-Bold"/>
              <w:b/>
              <w:lang w:val="it-IT"/>
            </w:rPr>
            <w:t>IPL | Istituto Promozione Lavoratori</w:t>
          </w:r>
        </w:p>
        <w:p w14:paraId="735976EF" w14:textId="77777777" w:rsidR="00236EB7" w:rsidRPr="00236EB7" w:rsidRDefault="00236EB7" w:rsidP="00AA3C7B">
          <w:pPr>
            <w:pStyle w:val="AFI-Daten"/>
            <w:rPr>
              <w:lang w:val="it-IT"/>
            </w:rPr>
          </w:pPr>
          <w:r w:rsidRPr="00236EB7">
            <w:rPr>
              <w:rFonts w:cs="DagnyPro-Bold"/>
              <w:lang w:val="it-IT"/>
            </w:rPr>
            <w:t>Palazzo Provinciale 12</w:t>
          </w:r>
        </w:p>
        <w:p w14:paraId="4A34A8E2" w14:textId="77777777" w:rsidR="00236EB7" w:rsidRPr="00236EB7" w:rsidRDefault="00236EB7" w:rsidP="00AA3C7B">
          <w:pPr>
            <w:pStyle w:val="AFI-Daten"/>
            <w:rPr>
              <w:lang w:val="it-IT"/>
            </w:rPr>
          </w:pPr>
          <w:r w:rsidRPr="00236EB7">
            <w:rPr>
              <w:rFonts w:cs="DagnyPro-Bold"/>
              <w:lang w:val="it-IT"/>
            </w:rPr>
            <w:t>Via Canonico Michael Gamper, 1</w:t>
          </w:r>
        </w:p>
        <w:p w14:paraId="613FBBE5" w14:textId="77777777" w:rsidR="00236EB7" w:rsidRPr="00236EB7" w:rsidRDefault="008129BE" w:rsidP="008129BE">
          <w:pPr>
            <w:pStyle w:val="AFI-Daten"/>
            <w:rPr>
              <w:lang w:val="it-IT"/>
            </w:rPr>
          </w:pPr>
          <w:r>
            <w:rPr>
              <w:rFonts w:cs="DagnyPro-Bold"/>
              <w:lang w:val="it-IT"/>
            </w:rPr>
            <w:t xml:space="preserve">I - </w:t>
          </w:r>
          <w:r w:rsidR="00236EB7" w:rsidRPr="00236EB7">
            <w:rPr>
              <w:rFonts w:cs="DagnyPro-Bold"/>
              <w:lang w:val="it-IT"/>
            </w:rPr>
            <w:t>39100 Bolzano</w:t>
          </w:r>
        </w:p>
      </w:tc>
      <w:tc>
        <w:tcPr>
          <w:tcW w:w="2111" w:type="dxa"/>
          <w:tcBorders>
            <w:top w:val="single" w:sz="2" w:space="0" w:color="A2AAB3" w:themeColor="accent3"/>
            <w:left w:val="nil"/>
            <w:bottom w:val="nil"/>
            <w:right w:val="nil"/>
          </w:tcBorders>
          <w:tcMar>
            <w:top w:w="0" w:type="dxa"/>
            <w:left w:w="0" w:type="dxa"/>
            <w:bottom w:w="0" w:type="dxa"/>
            <w:right w:w="0" w:type="dxa"/>
          </w:tcMar>
        </w:tcPr>
        <w:p w14:paraId="65181934" w14:textId="77777777" w:rsidR="00236EB7" w:rsidRPr="00236EB7" w:rsidRDefault="00236EB7" w:rsidP="00AA3C7B">
          <w:pPr>
            <w:pStyle w:val="AFI-Daten"/>
            <w:rPr>
              <w:lang w:val="it-IT"/>
            </w:rPr>
          </w:pPr>
        </w:p>
        <w:p w14:paraId="688BD800" w14:textId="77777777" w:rsidR="00002010" w:rsidRDefault="00002010" w:rsidP="00AA3C7B">
          <w:pPr>
            <w:pStyle w:val="AFI-Daten"/>
            <w:rPr>
              <w:lang w:val="it-IT"/>
            </w:rPr>
          </w:pPr>
        </w:p>
        <w:p w14:paraId="57EA585B" w14:textId="77777777" w:rsidR="00236EB7" w:rsidRPr="00236EB7" w:rsidRDefault="00236EB7" w:rsidP="00AA3C7B">
          <w:pPr>
            <w:pStyle w:val="AFI-Daten"/>
            <w:rPr>
              <w:lang w:val="it-IT"/>
            </w:rPr>
          </w:pPr>
          <w:r w:rsidRPr="00236EB7">
            <w:rPr>
              <w:lang w:val="it-IT"/>
            </w:rPr>
            <w:t xml:space="preserve">T. +39 0471 41 88 30 </w:t>
          </w:r>
        </w:p>
        <w:p w14:paraId="544C8B86" w14:textId="77777777" w:rsidR="00236EB7" w:rsidRPr="00236EB7" w:rsidRDefault="000F25E1" w:rsidP="00AA3C7B">
          <w:pPr>
            <w:pStyle w:val="AFI-Daten"/>
            <w:rPr>
              <w:lang w:val="it-IT"/>
            </w:rPr>
          </w:pPr>
          <w:r>
            <w:fldChar w:fldCharType="begin"/>
          </w:r>
          <w:r w:rsidRPr="000F25E1">
            <w:rPr>
              <w:lang w:val="it-IT"/>
            </w:rPr>
            <w:instrText>HYPERLINK "mailto:info@afi-ipl.org"</w:instrText>
          </w:r>
          <w:r>
            <w:fldChar w:fldCharType="separate"/>
          </w:r>
          <w:r w:rsidR="00236EB7" w:rsidRPr="00236EB7">
            <w:rPr>
              <w:rStyle w:val="Hyperlink"/>
              <w:color w:val="5B6066" w:themeColor="accent4"/>
              <w:lang w:val="it-IT"/>
            </w:rPr>
            <w:t>info@afi-ipl.org</w:t>
          </w:r>
          <w:r>
            <w:rPr>
              <w:rStyle w:val="Hyperlink"/>
              <w:color w:val="5B6066" w:themeColor="accent4"/>
              <w:lang w:val="it-IT"/>
            </w:rPr>
            <w:fldChar w:fldCharType="end"/>
          </w:r>
          <w:r w:rsidR="00236EB7" w:rsidRPr="00236EB7">
            <w:rPr>
              <w:lang w:val="it-IT"/>
            </w:rPr>
            <w:t xml:space="preserve">  - </w:t>
          </w:r>
          <w:hyperlink r:id="rId1" w:history="1">
            <w:r w:rsidR="00236EB7" w:rsidRPr="00236EB7">
              <w:rPr>
                <w:rStyle w:val="Hyperlink"/>
                <w:color w:val="5B6066" w:themeColor="accent4"/>
                <w:lang w:val="it-IT"/>
              </w:rPr>
              <w:t>afi-ipl@pec.it</w:t>
            </w:r>
          </w:hyperlink>
        </w:p>
        <w:p w14:paraId="1791862C" w14:textId="77777777" w:rsidR="00236EB7" w:rsidRPr="00236EB7" w:rsidRDefault="000F25E1" w:rsidP="00AA3C7B">
          <w:pPr>
            <w:pStyle w:val="AFI-Daten"/>
          </w:pPr>
          <w:hyperlink r:id="rId2" w:history="1">
            <w:r w:rsidR="00236EB7" w:rsidRPr="00236EB7">
              <w:rPr>
                <w:rStyle w:val="Hyperlink"/>
                <w:color w:val="5B6066" w:themeColor="accent4"/>
              </w:rPr>
              <w:t>www.afi-ipl.org</w:t>
            </w:r>
          </w:hyperlink>
          <w:r w:rsidR="00236EB7" w:rsidRPr="00236EB7">
            <w:t xml:space="preserve"> </w:t>
          </w:r>
        </w:p>
      </w:tc>
      <w:tc>
        <w:tcPr>
          <w:tcW w:w="2281" w:type="dxa"/>
          <w:tcBorders>
            <w:top w:val="single" w:sz="2" w:space="0" w:color="A2AAB3" w:themeColor="accent3"/>
            <w:left w:val="nil"/>
            <w:bottom w:val="nil"/>
            <w:right w:val="nil"/>
          </w:tcBorders>
          <w:tcMar>
            <w:top w:w="0" w:type="dxa"/>
            <w:left w:w="0" w:type="dxa"/>
            <w:bottom w:w="0" w:type="dxa"/>
            <w:right w:w="0" w:type="dxa"/>
          </w:tcMar>
        </w:tcPr>
        <w:p w14:paraId="44D50E71" w14:textId="77777777" w:rsidR="00236EB7" w:rsidRPr="00236EB7" w:rsidRDefault="00236EB7" w:rsidP="00AA3C7B">
          <w:pPr>
            <w:pStyle w:val="AFI-Daten"/>
          </w:pPr>
        </w:p>
        <w:p w14:paraId="3C97D154" w14:textId="77777777" w:rsidR="00002010" w:rsidRDefault="00002010" w:rsidP="00AA3C7B">
          <w:pPr>
            <w:pStyle w:val="AFI-Daten"/>
          </w:pPr>
        </w:p>
        <w:p w14:paraId="274659E9" w14:textId="77777777" w:rsidR="00236EB7" w:rsidRPr="00236EB7" w:rsidRDefault="00236EB7" w:rsidP="00AA3C7B">
          <w:pPr>
            <w:pStyle w:val="AFI-Daten"/>
          </w:pPr>
          <w:r w:rsidRPr="00236EB7">
            <w:t>Str. Nr. | C.F. 94047040210</w:t>
          </w:r>
        </w:p>
        <w:p w14:paraId="50F403AE" w14:textId="77777777" w:rsidR="00236EB7" w:rsidRPr="00002010" w:rsidRDefault="00236EB7" w:rsidP="00AA3C7B">
          <w:pPr>
            <w:pStyle w:val="AFI-Daten"/>
          </w:pPr>
          <w:r w:rsidRPr="00002010">
            <w:t xml:space="preserve">IPA-Kodex UFQ0VJ </w:t>
          </w:r>
        </w:p>
        <w:p w14:paraId="3C3E015A" w14:textId="77777777" w:rsidR="00236EB7" w:rsidRPr="00877F3E" w:rsidRDefault="00236EB7" w:rsidP="00AA3C7B">
          <w:pPr>
            <w:pStyle w:val="AFI-Daten"/>
            <w:rPr>
              <w:lang w:val="en-US"/>
            </w:rPr>
          </w:pPr>
          <w:r w:rsidRPr="00877F3E">
            <w:rPr>
              <w:lang w:val="en-US"/>
            </w:rPr>
            <w:t>IBAN IT22Q 06045 11619 000000000182</w:t>
          </w:r>
        </w:p>
      </w:tc>
    </w:tr>
  </w:tbl>
  <w:p w14:paraId="304F7005" w14:textId="77777777" w:rsidR="00236EB7" w:rsidRPr="00877F3E" w:rsidRDefault="00236EB7" w:rsidP="00236EB7">
    <w:pPr>
      <w:pStyle w:val="Fuzeile"/>
      <w:rPr>
        <w:sz w:val="2"/>
        <w:szCs w:val="2"/>
        <w:lang w:val="en-US"/>
      </w:rPr>
    </w:pPr>
  </w:p>
  <w:p w14:paraId="7289308D" w14:textId="77777777" w:rsidR="002702D0" w:rsidRPr="00877F3E" w:rsidRDefault="002702D0" w:rsidP="00427AFC">
    <w:pPr>
      <w:pStyle w:val="Fuzeile"/>
      <w:rPr>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9E21" w14:textId="77777777" w:rsidR="00101103" w:rsidRPr="006A4F25" w:rsidRDefault="006A4F25">
    <w:pPr>
      <w:pStyle w:val="Fuzeile"/>
      <w:rPr>
        <w:sz w:val="20"/>
        <w:szCs w:val="20"/>
      </w:rPr>
    </w:pPr>
    <w:r w:rsidRPr="006A4F25">
      <w:rPr>
        <w:sz w:val="20"/>
        <w:szCs w:val="20"/>
      </w:rPr>
      <w:t xml:space="preserve"> </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1"/>
      <w:gridCol w:w="2111"/>
      <w:gridCol w:w="2281"/>
    </w:tblGrid>
    <w:tr w:rsidR="006A4F25" w:rsidRPr="00877F3E" w14:paraId="39D11302" w14:textId="77777777" w:rsidTr="00C07B21">
      <w:trPr>
        <w:trHeight w:val="558"/>
      </w:trPr>
      <w:tc>
        <w:tcPr>
          <w:tcW w:w="2269" w:type="dxa"/>
          <w:tcBorders>
            <w:top w:val="single" w:sz="2" w:space="0" w:color="A2AAB3" w:themeColor="accent3"/>
            <w:left w:val="nil"/>
            <w:bottom w:val="nil"/>
            <w:right w:val="nil"/>
          </w:tcBorders>
          <w:tcMar>
            <w:top w:w="0" w:type="dxa"/>
            <w:left w:w="0" w:type="dxa"/>
            <w:bottom w:w="0" w:type="dxa"/>
            <w:right w:w="0" w:type="dxa"/>
          </w:tcMar>
        </w:tcPr>
        <w:p w14:paraId="36374815" w14:textId="77777777" w:rsidR="006A4F25" w:rsidRPr="00236EB7" w:rsidRDefault="006A4F25" w:rsidP="006A4F25">
          <w:pPr>
            <w:pStyle w:val="AFI-Daten"/>
          </w:pPr>
        </w:p>
        <w:p w14:paraId="01D51D48" w14:textId="77777777" w:rsidR="006A4F25" w:rsidRPr="00236EB7" w:rsidRDefault="006A4F25" w:rsidP="006A4F25">
          <w:pPr>
            <w:pStyle w:val="AFI-Daten"/>
            <w:rPr>
              <w:rFonts w:cs="DagnyPro-Bold"/>
              <w:b/>
            </w:rPr>
          </w:pPr>
          <w:r w:rsidRPr="00236EB7">
            <w:rPr>
              <w:rFonts w:cs="DagnyPro-Bold"/>
              <w:b/>
            </w:rPr>
            <w:t>AFI | Arbeitsförderungsinstitut</w:t>
          </w:r>
        </w:p>
        <w:p w14:paraId="67D109DA" w14:textId="77777777" w:rsidR="006A4F25" w:rsidRPr="00236EB7" w:rsidRDefault="006A4F25" w:rsidP="006A4F25">
          <w:pPr>
            <w:pStyle w:val="AFI-Daten"/>
          </w:pPr>
          <w:r w:rsidRPr="00236EB7">
            <w:rPr>
              <w:rFonts w:cs="DagnyPro-Bold"/>
            </w:rPr>
            <w:t>Landhaus 12</w:t>
          </w:r>
        </w:p>
        <w:p w14:paraId="5973E0F7" w14:textId="77777777" w:rsidR="006A4F25" w:rsidRPr="00236EB7" w:rsidRDefault="006A4F25" w:rsidP="006A4F25">
          <w:pPr>
            <w:pStyle w:val="AFI-Daten"/>
          </w:pPr>
          <w:r w:rsidRPr="00236EB7">
            <w:rPr>
              <w:rFonts w:cs="DagnyPro-Bold"/>
            </w:rPr>
            <w:t>Kanonikus-Michael-Gamper-Str. 1</w:t>
          </w:r>
        </w:p>
        <w:p w14:paraId="4D8A3C5F" w14:textId="77777777" w:rsidR="006A4F25" w:rsidRPr="00236EB7" w:rsidRDefault="008129BE" w:rsidP="006A4F25">
          <w:pPr>
            <w:pStyle w:val="AFI-Daten"/>
          </w:pPr>
          <w:r>
            <w:rPr>
              <w:rFonts w:cs="DagnyPro-Bold"/>
            </w:rPr>
            <w:t>I -</w:t>
          </w:r>
          <w:r w:rsidR="006A4F25" w:rsidRPr="00236EB7">
            <w:rPr>
              <w:rFonts w:cs="DagnyPro-Bold"/>
            </w:rPr>
            <w:t xml:space="preserve"> 39100 Bozen</w:t>
          </w:r>
        </w:p>
      </w:tc>
      <w:tc>
        <w:tcPr>
          <w:tcW w:w="2551" w:type="dxa"/>
          <w:tcBorders>
            <w:top w:val="single" w:sz="2" w:space="0" w:color="A2AAB3" w:themeColor="accent3"/>
            <w:left w:val="nil"/>
            <w:bottom w:val="nil"/>
            <w:right w:val="nil"/>
          </w:tcBorders>
          <w:tcMar>
            <w:top w:w="0" w:type="dxa"/>
            <w:left w:w="0" w:type="dxa"/>
            <w:bottom w:w="0" w:type="dxa"/>
            <w:right w:w="0" w:type="dxa"/>
          </w:tcMar>
        </w:tcPr>
        <w:p w14:paraId="4B3ADDC8" w14:textId="77777777" w:rsidR="006A4F25" w:rsidRPr="00236EB7" w:rsidRDefault="006A4F25" w:rsidP="006A4F25">
          <w:pPr>
            <w:pStyle w:val="AFI-Daten"/>
            <w:rPr>
              <w:lang w:val="it-IT"/>
            </w:rPr>
          </w:pPr>
        </w:p>
        <w:p w14:paraId="2C5B1042" w14:textId="77777777" w:rsidR="006A4F25" w:rsidRPr="00236EB7" w:rsidRDefault="006A4F25" w:rsidP="006A4F25">
          <w:pPr>
            <w:pStyle w:val="AFI-Daten"/>
            <w:rPr>
              <w:b/>
              <w:lang w:val="it-IT"/>
            </w:rPr>
          </w:pPr>
          <w:r w:rsidRPr="00236EB7">
            <w:rPr>
              <w:rFonts w:cs="DagnyPro-Bold"/>
              <w:b/>
              <w:lang w:val="it-IT"/>
            </w:rPr>
            <w:t>IPL | Istituto Promozione Lavoratori</w:t>
          </w:r>
        </w:p>
        <w:p w14:paraId="3C8B7C35" w14:textId="77777777" w:rsidR="006A4F25" w:rsidRPr="00236EB7" w:rsidRDefault="006A4F25" w:rsidP="006A4F25">
          <w:pPr>
            <w:pStyle w:val="AFI-Daten"/>
            <w:rPr>
              <w:lang w:val="it-IT"/>
            </w:rPr>
          </w:pPr>
          <w:r w:rsidRPr="00236EB7">
            <w:rPr>
              <w:rFonts w:cs="DagnyPro-Bold"/>
              <w:lang w:val="it-IT"/>
            </w:rPr>
            <w:t>Palazzo Provinciale 12</w:t>
          </w:r>
        </w:p>
        <w:p w14:paraId="4E28DAFD" w14:textId="77777777" w:rsidR="006A4F25" w:rsidRPr="00236EB7" w:rsidRDefault="006A4F25" w:rsidP="006A4F25">
          <w:pPr>
            <w:pStyle w:val="AFI-Daten"/>
            <w:rPr>
              <w:lang w:val="it-IT"/>
            </w:rPr>
          </w:pPr>
          <w:r w:rsidRPr="00236EB7">
            <w:rPr>
              <w:rFonts w:cs="DagnyPro-Bold"/>
              <w:lang w:val="it-IT"/>
            </w:rPr>
            <w:t>Via Canonico Michael Gamper, 1</w:t>
          </w:r>
        </w:p>
        <w:p w14:paraId="1065FEAB" w14:textId="77777777" w:rsidR="006A4F25" w:rsidRPr="00236EB7" w:rsidRDefault="008129BE" w:rsidP="006A4F25">
          <w:pPr>
            <w:pStyle w:val="AFI-Daten"/>
            <w:rPr>
              <w:lang w:val="it-IT"/>
            </w:rPr>
          </w:pPr>
          <w:r>
            <w:rPr>
              <w:rFonts w:cs="DagnyPro-Bold"/>
              <w:lang w:val="it-IT"/>
            </w:rPr>
            <w:t xml:space="preserve">I - </w:t>
          </w:r>
          <w:r w:rsidR="006A4F25" w:rsidRPr="00236EB7">
            <w:rPr>
              <w:rFonts w:cs="DagnyPro-Bold"/>
              <w:lang w:val="it-IT"/>
            </w:rPr>
            <w:t>39100 Bolzano</w:t>
          </w:r>
        </w:p>
      </w:tc>
      <w:tc>
        <w:tcPr>
          <w:tcW w:w="2111" w:type="dxa"/>
          <w:tcBorders>
            <w:top w:val="single" w:sz="2" w:space="0" w:color="A2AAB3" w:themeColor="accent3"/>
            <w:left w:val="nil"/>
            <w:bottom w:val="nil"/>
            <w:right w:val="nil"/>
          </w:tcBorders>
          <w:tcMar>
            <w:top w:w="0" w:type="dxa"/>
            <w:left w:w="0" w:type="dxa"/>
            <w:bottom w:w="0" w:type="dxa"/>
            <w:right w:w="0" w:type="dxa"/>
          </w:tcMar>
        </w:tcPr>
        <w:p w14:paraId="33E7A908" w14:textId="77777777" w:rsidR="006A4F25" w:rsidRPr="00236EB7" w:rsidRDefault="006A4F25" w:rsidP="006A4F25">
          <w:pPr>
            <w:pStyle w:val="AFI-Daten"/>
            <w:rPr>
              <w:lang w:val="it-IT"/>
            </w:rPr>
          </w:pPr>
        </w:p>
        <w:p w14:paraId="594C799D" w14:textId="77777777" w:rsidR="00002010" w:rsidRDefault="00002010" w:rsidP="006A4F25">
          <w:pPr>
            <w:pStyle w:val="AFI-Daten"/>
            <w:rPr>
              <w:lang w:val="it-IT"/>
            </w:rPr>
          </w:pPr>
        </w:p>
        <w:p w14:paraId="65E2507A" w14:textId="77777777" w:rsidR="006A4F25" w:rsidRPr="00236EB7" w:rsidRDefault="006A4F25" w:rsidP="006A4F25">
          <w:pPr>
            <w:pStyle w:val="AFI-Daten"/>
            <w:rPr>
              <w:lang w:val="it-IT"/>
            </w:rPr>
          </w:pPr>
          <w:r w:rsidRPr="00236EB7">
            <w:rPr>
              <w:lang w:val="it-IT"/>
            </w:rPr>
            <w:t xml:space="preserve">T. +39 0471 41 88 30 </w:t>
          </w:r>
        </w:p>
        <w:p w14:paraId="36364D5C" w14:textId="77777777" w:rsidR="006A4F25" w:rsidRPr="00236EB7" w:rsidRDefault="000F25E1" w:rsidP="006A4F25">
          <w:pPr>
            <w:pStyle w:val="AFI-Daten"/>
            <w:rPr>
              <w:lang w:val="it-IT"/>
            </w:rPr>
          </w:pPr>
          <w:r>
            <w:fldChar w:fldCharType="begin"/>
          </w:r>
          <w:r w:rsidRPr="000F25E1">
            <w:rPr>
              <w:lang w:val="it-IT"/>
            </w:rPr>
            <w:instrText>HYPERLINK "mailto:info@afi-ipl.org"</w:instrText>
          </w:r>
          <w:r>
            <w:fldChar w:fldCharType="separate"/>
          </w:r>
          <w:r w:rsidR="006A4F25" w:rsidRPr="00236EB7">
            <w:rPr>
              <w:rStyle w:val="Hyperlink"/>
              <w:color w:val="5B6066" w:themeColor="accent4"/>
              <w:lang w:val="it-IT"/>
            </w:rPr>
            <w:t>info@afi-ipl.org</w:t>
          </w:r>
          <w:r>
            <w:rPr>
              <w:rStyle w:val="Hyperlink"/>
              <w:color w:val="5B6066" w:themeColor="accent4"/>
              <w:lang w:val="it-IT"/>
            </w:rPr>
            <w:fldChar w:fldCharType="end"/>
          </w:r>
          <w:r w:rsidR="006A4F25" w:rsidRPr="00236EB7">
            <w:rPr>
              <w:lang w:val="it-IT"/>
            </w:rPr>
            <w:t xml:space="preserve">  - </w:t>
          </w:r>
          <w:hyperlink r:id="rId1" w:history="1">
            <w:r w:rsidR="006A4F25" w:rsidRPr="00236EB7">
              <w:rPr>
                <w:rStyle w:val="Hyperlink"/>
                <w:color w:val="5B6066" w:themeColor="accent4"/>
                <w:lang w:val="it-IT"/>
              </w:rPr>
              <w:t>afi-ipl@pec.it</w:t>
            </w:r>
          </w:hyperlink>
        </w:p>
        <w:p w14:paraId="5C42919F" w14:textId="77777777" w:rsidR="006A4F25" w:rsidRPr="00236EB7" w:rsidRDefault="000F25E1" w:rsidP="006A4F25">
          <w:pPr>
            <w:pStyle w:val="AFI-Daten"/>
          </w:pPr>
          <w:hyperlink r:id="rId2" w:history="1">
            <w:r w:rsidR="006A4F25" w:rsidRPr="00236EB7">
              <w:rPr>
                <w:rStyle w:val="Hyperlink"/>
                <w:color w:val="5B6066" w:themeColor="accent4"/>
              </w:rPr>
              <w:t>www.afi-ipl.org</w:t>
            </w:r>
          </w:hyperlink>
          <w:r w:rsidR="006A4F25" w:rsidRPr="00236EB7">
            <w:t xml:space="preserve"> </w:t>
          </w:r>
        </w:p>
      </w:tc>
      <w:tc>
        <w:tcPr>
          <w:tcW w:w="2281" w:type="dxa"/>
          <w:tcBorders>
            <w:top w:val="single" w:sz="2" w:space="0" w:color="A2AAB3" w:themeColor="accent3"/>
            <w:left w:val="nil"/>
            <w:bottom w:val="nil"/>
            <w:right w:val="nil"/>
          </w:tcBorders>
          <w:tcMar>
            <w:top w:w="0" w:type="dxa"/>
            <w:left w:w="0" w:type="dxa"/>
            <w:bottom w:w="0" w:type="dxa"/>
            <w:right w:w="0" w:type="dxa"/>
          </w:tcMar>
        </w:tcPr>
        <w:p w14:paraId="00D95A61" w14:textId="77777777" w:rsidR="006A4F25" w:rsidRPr="00236EB7" w:rsidRDefault="006A4F25" w:rsidP="006A4F25">
          <w:pPr>
            <w:pStyle w:val="AFI-Daten"/>
          </w:pPr>
        </w:p>
        <w:p w14:paraId="2D6CF802" w14:textId="77777777" w:rsidR="00002010" w:rsidRDefault="00002010" w:rsidP="006A4F25">
          <w:pPr>
            <w:pStyle w:val="AFI-Daten"/>
          </w:pPr>
        </w:p>
        <w:p w14:paraId="4873241E" w14:textId="77777777" w:rsidR="006A4F25" w:rsidRPr="00236EB7" w:rsidRDefault="006A4F25" w:rsidP="006A4F25">
          <w:pPr>
            <w:pStyle w:val="AFI-Daten"/>
          </w:pPr>
          <w:r w:rsidRPr="00236EB7">
            <w:t>Str. Nr. | C.F. 94047040210</w:t>
          </w:r>
        </w:p>
        <w:p w14:paraId="043D6B81" w14:textId="77777777" w:rsidR="006A4F25" w:rsidRPr="00002010" w:rsidRDefault="006A4F25" w:rsidP="006A4F25">
          <w:pPr>
            <w:pStyle w:val="AFI-Daten"/>
          </w:pPr>
          <w:r w:rsidRPr="00002010">
            <w:t xml:space="preserve">IPA-Kodex UFQ0VJ </w:t>
          </w:r>
        </w:p>
        <w:p w14:paraId="4351F281" w14:textId="77777777" w:rsidR="006A4F25" w:rsidRPr="00877F3E" w:rsidRDefault="006A4F25" w:rsidP="006A4F25">
          <w:pPr>
            <w:pStyle w:val="AFI-Daten"/>
            <w:rPr>
              <w:lang w:val="en-US"/>
            </w:rPr>
          </w:pPr>
          <w:r w:rsidRPr="00877F3E">
            <w:rPr>
              <w:lang w:val="en-US"/>
            </w:rPr>
            <w:t>IBAN IT22Q 06045 11619 000000000182</w:t>
          </w:r>
        </w:p>
      </w:tc>
    </w:tr>
  </w:tbl>
  <w:p w14:paraId="24D30CE5" w14:textId="77777777" w:rsidR="00101103" w:rsidRPr="006A4F25" w:rsidRDefault="00101103" w:rsidP="006A4F2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711C" w14:textId="77777777" w:rsidR="00865061" w:rsidRDefault="00865061" w:rsidP="007E454C">
      <w:r>
        <w:separator/>
      </w:r>
    </w:p>
  </w:footnote>
  <w:footnote w:type="continuationSeparator" w:id="0">
    <w:p w14:paraId="47CEF54B" w14:textId="77777777" w:rsidR="00865061" w:rsidRDefault="00865061" w:rsidP="007E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9F86" w14:textId="77777777" w:rsidR="00F50DD0" w:rsidRDefault="00D03895" w:rsidP="007E454C">
    <w:pPr>
      <w:jc w:val="right"/>
    </w:pPr>
    <w:r>
      <w:rPr>
        <w:noProof/>
        <w:lang w:val="it-IT" w:eastAsia="it-IT"/>
      </w:rPr>
      <w:drawing>
        <wp:inline distT="0" distB="0" distL="0" distR="0" wp14:anchorId="4DB9F59B" wp14:editId="721026C1">
          <wp:extent cx="2161525" cy="720000"/>
          <wp:effectExtent l="0" t="0" r="0" b="444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FI 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525"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D87C" w14:textId="77777777" w:rsidR="008A3999" w:rsidRDefault="008A3999" w:rsidP="008A3999">
    <w:pPr>
      <w:pStyle w:val="Kopfzeile"/>
      <w:jc w:val="right"/>
    </w:pPr>
    <w:r>
      <w:rPr>
        <w:noProof/>
        <w:lang w:val="it-IT" w:eastAsia="it-IT"/>
      </w:rPr>
      <w:drawing>
        <wp:inline distT="0" distB="0" distL="0" distR="0" wp14:anchorId="70ABA615" wp14:editId="040F6A18">
          <wp:extent cx="2161525" cy="720000"/>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FI 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52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36"/>
    <w:multiLevelType w:val="hybridMultilevel"/>
    <w:tmpl w:val="2E909D3E"/>
    <w:lvl w:ilvl="0" w:tplc="CC628510">
      <w:start w:val="1"/>
      <w:numFmt w:val="upperRoman"/>
      <w:lvlText w:val="%1-"/>
      <w:lvlJc w:val="left"/>
      <w:pPr>
        <w:ind w:left="1080" w:hanging="720"/>
      </w:pPr>
      <w:rPr>
        <w:rFonts w:cs="DagnyPro-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B67C57"/>
    <w:multiLevelType w:val="hybridMultilevel"/>
    <w:tmpl w:val="52FE53AA"/>
    <w:lvl w:ilvl="0" w:tplc="42DECAAA">
      <w:start w:val="1"/>
      <w:numFmt w:val="upperRoman"/>
      <w:lvlText w:val="%1-"/>
      <w:lvlJc w:val="left"/>
      <w:pPr>
        <w:ind w:left="1080" w:hanging="720"/>
      </w:pPr>
      <w:rPr>
        <w:rFonts w:cs="DagnyPro-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BA564A"/>
    <w:multiLevelType w:val="hybridMultilevel"/>
    <w:tmpl w:val="96B8BA76"/>
    <w:lvl w:ilvl="0" w:tplc="BA3C39D8">
      <w:start w:val="1"/>
      <w:numFmt w:val="upperRoman"/>
      <w:lvlText w:val="%1-"/>
      <w:lvlJc w:val="left"/>
      <w:pPr>
        <w:ind w:left="1080" w:hanging="720"/>
      </w:pPr>
      <w:rPr>
        <w:rFonts w:cs="DagnyPro-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0868535">
    <w:abstractNumId w:val="1"/>
  </w:num>
  <w:num w:numId="2" w16cid:durableId="1477648169">
    <w:abstractNumId w:val="0"/>
  </w:num>
  <w:num w:numId="3" w16cid:durableId="1442915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9D"/>
    <w:rsid w:val="00002010"/>
    <w:rsid w:val="00056EBD"/>
    <w:rsid w:val="000F25E1"/>
    <w:rsid w:val="00101103"/>
    <w:rsid w:val="00104F8A"/>
    <w:rsid w:val="00116CCD"/>
    <w:rsid w:val="0013159C"/>
    <w:rsid w:val="00142BA5"/>
    <w:rsid w:val="0016293B"/>
    <w:rsid w:val="001D448F"/>
    <w:rsid w:val="001D7A67"/>
    <w:rsid w:val="001E41FF"/>
    <w:rsid w:val="00236EB7"/>
    <w:rsid w:val="00257761"/>
    <w:rsid w:val="002702D0"/>
    <w:rsid w:val="0030069A"/>
    <w:rsid w:val="00333B79"/>
    <w:rsid w:val="0038657B"/>
    <w:rsid w:val="003C4617"/>
    <w:rsid w:val="00402D84"/>
    <w:rsid w:val="00414B60"/>
    <w:rsid w:val="0042416C"/>
    <w:rsid w:val="00427AFC"/>
    <w:rsid w:val="0047401E"/>
    <w:rsid w:val="004C1944"/>
    <w:rsid w:val="004E7F19"/>
    <w:rsid w:val="00513018"/>
    <w:rsid w:val="0055160E"/>
    <w:rsid w:val="005A6B1C"/>
    <w:rsid w:val="005C6C73"/>
    <w:rsid w:val="00616DD8"/>
    <w:rsid w:val="006A4F25"/>
    <w:rsid w:val="006C0A9B"/>
    <w:rsid w:val="006E57D9"/>
    <w:rsid w:val="006E7CA7"/>
    <w:rsid w:val="00786BB0"/>
    <w:rsid w:val="007A7E86"/>
    <w:rsid w:val="007C02F1"/>
    <w:rsid w:val="007C1AF2"/>
    <w:rsid w:val="007E2D24"/>
    <w:rsid w:val="007E454C"/>
    <w:rsid w:val="007F6767"/>
    <w:rsid w:val="008129BE"/>
    <w:rsid w:val="00816579"/>
    <w:rsid w:val="00836D85"/>
    <w:rsid w:val="008445AF"/>
    <w:rsid w:val="00865061"/>
    <w:rsid w:val="00877F3E"/>
    <w:rsid w:val="008A3999"/>
    <w:rsid w:val="008B4E9D"/>
    <w:rsid w:val="008D6874"/>
    <w:rsid w:val="008F353D"/>
    <w:rsid w:val="008F399F"/>
    <w:rsid w:val="0091169C"/>
    <w:rsid w:val="00955025"/>
    <w:rsid w:val="00984CC5"/>
    <w:rsid w:val="009A6D43"/>
    <w:rsid w:val="009C40CF"/>
    <w:rsid w:val="009D046E"/>
    <w:rsid w:val="009E7AD3"/>
    <w:rsid w:val="00A001E8"/>
    <w:rsid w:val="00A13D93"/>
    <w:rsid w:val="00A50877"/>
    <w:rsid w:val="00A62D00"/>
    <w:rsid w:val="00A90BAF"/>
    <w:rsid w:val="00AA3C7B"/>
    <w:rsid w:val="00AB7C08"/>
    <w:rsid w:val="00B6359F"/>
    <w:rsid w:val="00B67107"/>
    <w:rsid w:val="00C20AD5"/>
    <w:rsid w:val="00C8263D"/>
    <w:rsid w:val="00C8292D"/>
    <w:rsid w:val="00C941F4"/>
    <w:rsid w:val="00D03895"/>
    <w:rsid w:val="00D03D58"/>
    <w:rsid w:val="00D5756E"/>
    <w:rsid w:val="00D83D8F"/>
    <w:rsid w:val="00D84E8F"/>
    <w:rsid w:val="00D91307"/>
    <w:rsid w:val="00D968C4"/>
    <w:rsid w:val="00DA714F"/>
    <w:rsid w:val="00DB028B"/>
    <w:rsid w:val="00DE6991"/>
    <w:rsid w:val="00DF13C3"/>
    <w:rsid w:val="00E00CA7"/>
    <w:rsid w:val="00E85DD3"/>
    <w:rsid w:val="00E93793"/>
    <w:rsid w:val="00EA002C"/>
    <w:rsid w:val="00ED5EF3"/>
    <w:rsid w:val="00F371BC"/>
    <w:rsid w:val="00F4508D"/>
    <w:rsid w:val="00F50DD0"/>
    <w:rsid w:val="00F74343"/>
    <w:rsid w:val="00FA5679"/>
    <w:rsid w:val="00FB5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DA33"/>
  <w15:docId w15:val="{DC15FEEC-23AE-4396-88DA-5211EFF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3C7B"/>
    <w:pPr>
      <w:spacing w:after="0" w:line="276" w:lineRule="auto"/>
    </w:pPr>
    <w:rPr>
      <w:rFonts w:ascii="Source Sans Pro" w:hAnsi="Source Sans Pro"/>
      <w:lang w:val="de-DE"/>
      <w14:ligatures w14:val="standard"/>
    </w:rPr>
  </w:style>
  <w:style w:type="paragraph" w:styleId="berschrift1">
    <w:name w:val="heading 1"/>
    <w:basedOn w:val="Standard"/>
    <w:next w:val="Standard"/>
    <w:link w:val="berschrift1Zchn"/>
    <w:uiPriority w:val="9"/>
    <w:qFormat/>
    <w:rsid w:val="00427AFC"/>
    <w:pPr>
      <w:keepNext/>
      <w:keepLines/>
      <w:spacing w:before="240"/>
      <w:outlineLvl w:val="0"/>
    </w:pPr>
    <w:rPr>
      <w:rFonts w:asciiTheme="minorHAnsi" w:eastAsiaTheme="majorEastAsia" w:hAnsiTheme="minorHAnsi" w:cstheme="majorBidi"/>
      <w:b/>
      <w:color w:val="000000"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35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F353D"/>
  </w:style>
  <w:style w:type="paragraph" w:styleId="Fuzeile">
    <w:name w:val="footer"/>
    <w:basedOn w:val="Standard"/>
    <w:link w:val="FuzeileZchn"/>
    <w:uiPriority w:val="99"/>
    <w:unhideWhenUsed/>
    <w:qFormat/>
    <w:rsid w:val="00427AFC"/>
    <w:pPr>
      <w:tabs>
        <w:tab w:val="center" w:pos="4536"/>
        <w:tab w:val="right" w:pos="9072"/>
      </w:tabs>
      <w:spacing w:line="240" w:lineRule="auto"/>
    </w:pPr>
    <w:rPr>
      <w:color w:val="5B6066" w:themeColor="accent4"/>
      <w:sz w:val="14"/>
      <w:szCs w:val="14"/>
    </w:rPr>
  </w:style>
  <w:style w:type="character" w:customStyle="1" w:styleId="FuzeileZchn">
    <w:name w:val="Fußzeile Zchn"/>
    <w:basedOn w:val="Absatz-Standardschriftart"/>
    <w:link w:val="Fuzeile"/>
    <w:uiPriority w:val="99"/>
    <w:rsid w:val="00427AFC"/>
    <w:rPr>
      <w:rFonts w:ascii="Source Sans Pro" w:hAnsi="Source Sans Pro"/>
      <w:color w:val="5B6066" w:themeColor="accent4"/>
      <w:sz w:val="14"/>
      <w:szCs w:val="14"/>
      <w:lang w:val="de-DE"/>
      <w14:ligatures w14:val="standard"/>
    </w:rPr>
  </w:style>
  <w:style w:type="table" w:styleId="Tabellenraster">
    <w:name w:val="Table Grid"/>
    <w:basedOn w:val="NormaleTabelle"/>
    <w:uiPriority w:val="39"/>
    <w:rsid w:val="00F5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01E8"/>
    <w:pPr>
      <w:autoSpaceDE w:val="0"/>
      <w:autoSpaceDN w:val="0"/>
      <w:adjustRightInd w:val="0"/>
      <w:spacing w:after="0" w:line="240" w:lineRule="auto"/>
    </w:pPr>
    <w:rPr>
      <w:rFonts w:ascii="DagnyPro-Bold" w:hAnsi="DagnyPro-Bold" w:cs="DagnyPro-Bold"/>
      <w:color w:val="000000"/>
      <w:sz w:val="24"/>
      <w:szCs w:val="24"/>
    </w:rPr>
  </w:style>
  <w:style w:type="paragraph" w:customStyle="1" w:styleId="Pa0">
    <w:name w:val="Pa0"/>
    <w:basedOn w:val="Default"/>
    <w:next w:val="Default"/>
    <w:uiPriority w:val="99"/>
    <w:rsid w:val="00A001E8"/>
    <w:pPr>
      <w:spacing w:line="241" w:lineRule="atLeast"/>
    </w:pPr>
    <w:rPr>
      <w:rFonts w:cstheme="minorBidi"/>
      <w:color w:val="auto"/>
    </w:rPr>
  </w:style>
  <w:style w:type="character" w:customStyle="1" w:styleId="A1">
    <w:name w:val="A1"/>
    <w:uiPriority w:val="99"/>
    <w:rsid w:val="00A001E8"/>
    <w:rPr>
      <w:rFonts w:cs="DagnyPro-Bold"/>
      <w:color w:val="000000"/>
      <w:sz w:val="11"/>
      <w:szCs w:val="11"/>
    </w:rPr>
  </w:style>
  <w:style w:type="character" w:styleId="Hyperlink">
    <w:name w:val="Hyperlink"/>
    <w:basedOn w:val="Absatz-Standardschriftart"/>
    <w:uiPriority w:val="99"/>
    <w:unhideWhenUsed/>
    <w:rsid w:val="00A90BAF"/>
    <w:rPr>
      <w:color w:val="0070C0" w:themeColor="hyperlink"/>
      <w:u w:val="single"/>
    </w:rPr>
  </w:style>
  <w:style w:type="paragraph" w:styleId="Sprechblasentext">
    <w:name w:val="Balloon Text"/>
    <w:basedOn w:val="Standard"/>
    <w:link w:val="SprechblasentextZchn"/>
    <w:uiPriority w:val="99"/>
    <w:semiHidden/>
    <w:unhideWhenUsed/>
    <w:rsid w:val="00D038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3895"/>
    <w:rPr>
      <w:rFonts w:ascii="Segoe UI" w:hAnsi="Segoe UI" w:cs="Segoe UI"/>
      <w:sz w:val="18"/>
      <w:szCs w:val="18"/>
    </w:rPr>
  </w:style>
  <w:style w:type="character" w:customStyle="1" w:styleId="berschrift1Zchn">
    <w:name w:val="Überschrift 1 Zchn"/>
    <w:basedOn w:val="Absatz-Standardschriftart"/>
    <w:link w:val="berschrift1"/>
    <w:uiPriority w:val="9"/>
    <w:rsid w:val="00427AFC"/>
    <w:rPr>
      <w:rFonts w:eastAsiaTheme="majorEastAsia" w:cstheme="majorBidi"/>
      <w:b/>
      <w:color w:val="000000" w:themeColor="text2"/>
      <w:lang w:val="de-DE"/>
      <w14:ligatures w14:val="standard"/>
    </w:rPr>
  </w:style>
  <w:style w:type="paragraph" w:customStyle="1" w:styleId="AFI-Daten">
    <w:name w:val="AFI-Daten"/>
    <w:basedOn w:val="Standard"/>
    <w:qFormat/>
    <w:rsid w:val="00AA3C7B"/>
    <w:pPr>
      <w:tabs>
        <w:tab w:val="center" w:pos="4536"/>
        <w:tab w:val="right" w:pos="9072"/>
      </w:tabs>
      <w:spacing w:line="240" w:lineRule="auto"/>
    </w:pPr>
    <w:rPr>
      <w:rFonts w:asciiTheme="minorHAnsi" w:hAnsiTheme="minorHAnsi"/>
      <w:color w:val="5B6066" w:themeColor="accent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5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fi-ipl.org" TargetMode="External"/><Relationship Id="rId1" Type="http://schemas.openxmlformats.org/officeDocument/2006/relationships/hyperlink" Target="mailto:afi-ipl@pec.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fi-ipl.org" TargetMode="External"/><Relationship Id="rId1" Type="http://schemas.openxmlformats.org/officeDocument/2006/relationships/hyperlink" Target="mailto:afi-ipl@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1b_Briefblatt_2_Spalte_de_it.dotx" TargetMode="External"/></Relationships>
</file>

<file path=word/theme/theme1.xml><?xml version="1.0" encoding="utf-8"?>
<a:theme xmlns:a="http://schemas.openxmlformats.org/drawingml/2006/main" name="Tema di Office">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Personalizzato 1">
      <a:majorFont>
        <a:latin typeface="Source Sans Pro Light"/>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0EF6-3612-4423-96BB-546350FC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01b_Briefblatt_2_Spalte_de_it.dotx</Template>
  <TotalTime>0</TotalTime>
  <Pages>5</Pages>
  <Words>1340</Words>
  <Characters>8442</Characters>
  <Application>Microsoft Office Word</Application>
  <DocSecurity>0</DocSecurity>
  <Lines>70</Lines>
  <Paragraphs>19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Perini</dc:creator>
  <cp:lastModifiedBy>Stefan Perini</cp:lastModifiedBy>
  <cp:revision>5</cp:revision>
  <cp:lastPrinted>2022-03-29T09:10:00Z</cp:lastPrinted>
  <dcterms:created xsi:type="dcterms:W3CDTF">2022-06-22T11:38:00Z</dcterms:created>
  <dcterms:modified xsi:type="dcterms:W3CDTF">2022-06-27T10:21:00Z</dcterms:modified>
</cp:coreProperties>
</file>