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E12DE" w14:textId="3926DC5B" w:rsidR="00016B27" w:rsidRPr="00641117" w:rsidRDefault="00EF7D9E" w:rsidP="00016B27">
      <w:pPr>
        <w:jc w:val="center"/>
        <w:rPr>
          <w:b/>
          <w:bCs/>
          <w:smallCaps/>
          <w:kern w:val="28"/>
          <w:sz w:val="28"/>
          <w:szCs w:val="28"/>
        </w:rPr>
      </w:pPr>
      <w:r w:rsidRPr="000A1C7D">
        <w:rPr>
          <w:b/>
          <w:bCs/>
          <w:smallCaps/>
          <w:kern w:val="28"/>
          <w:sz w:val="28"/>
          <w:szCs w:val="28"/>
        </w:rPr>
        <w:t xml:space="preserve">Proposta di regolamento che </w:t>
      </w:r>
      <w:r w:rsidR="00016B27" w:rsidRPr="00641117">
        <w:rPr>
          <w:b/>
          <w:bCs/>
          <w:smallCaps/>
          <w:kern w:val="28"/>
          <w:sz w:val="28"/>
          <w:szCs w:val="28"/>
        </w:rPr>
        <w:t xml:space="preserve">modifica lo </w:t>
      </w:r>
      <w:r w:rsidR="00016B27" w:rsidRPr="00641117">
        <w:rPr>
          <w:b/>
          <w:bCs/>
          <w:i/>
          <w:smallCaps/>
          <w:kern w:val="28"/>
          <w:sz w:val="28"/>
          <w:szCs w:val="28"/>
        </w:rPr>
        <w:t>status</w:t>
      </w:r>
      <w:r w:rsidR="00016B27" w:rsidRPr="00641117">
        <w:rPr>
          <w:b/>
          <w:bCs/>
          <w:smallCaps/>
          <w:kern w:val="28"/>
          <w:sz w:val="28"/>
          <w:szCs w:val="28"/>
        </w:rPr>
        <w:t xml:space="preserve"> di protezione del lupo </w:t>
      </w:r>
      <w:r w:rsidR="00016B27" w:rsidRPr="00641117">
        <w:rPr>
          <w:b/>
          <w:bCs/>
          <w:iCs/>
          <w:smallCaps/>
          <w:kern w:val="28"/>
          <w:sz w:val="28"/>
          <w:szCs w:val="28"/>
        </w:rPr>
        <w:t>(</w:t>
      </w:r>
      <w:proofErr w:type="gramStart"/>
      <w:r w:rsidR="00016B27" w:rsidRPr="00641117">
        <w:rPr>
          <w:b/>
          <w:bCs/>
          <w:iCs/>
          <w:smallCaps/>
          <w:kern w:val="28"/>
          <w:sz w:val="28"/>
          <w:szCs w:val="28"/>
        </w:rPr>
        <w:t>COM(</w:t>
      </w:r>
      <w:proofErr w:type="gramEnd"/>
      <w:r w:rsidR="00016B27" w:rsidRPr="00641117">
        <w:rPr>
          <w:b/>
          <w:bCs/>
          <w:iCs/>
          <w:smallCaps/>
          <w:kern w:val="28"/>
          <w:sz w:val="28"/>
          <w:szCs w:val="28"/>
        </w:rPr>
        <w:t>2025)106)</w:t>
      </w:r>
    </w:p>
    <w:p w14:paraId="334D48A3" w14:textId="0A79325F" w:rsidR="00B138F7" w:rsidRDefault="00B138F7" w:rsidP="00016B27">
      <w:pPr>
        <w:jc w:val="center"/>
        <w:rPr>
          <w:b/>
          <w:i/>
          <w:sz w:val="24"/>
          <w:szCs w:val="24"/>
        </w:rPr>
      </w:pPr>
    </w:p>
    <w:p w14:paraId="0531353F" w14:textId="721E968C" w:rsidR="00B138F7" w:rsidRDefault="00B138F7" w:rsidP="00681C0B">
      <w:pPr>
        <w:jc w:val="center"/>
        <w:rPr>
          <w:rFonts w:eastAsia="Arial" w:cs="Arial"/>
          <w:b/>
          <w:sz w:val="24"/>
          <w:szCs w:val="24"/>
        </w:rPr>
      </w:pPr>
      <w:r>
        <w:rPr>
          <w:b/>
          <w:i/>
          <w:sz w:val="24"/>
          <w:szCs w:val="24"/>
        </w:rPr>
        <w:t>Bozza di documento del</w:t>
      </w:r>
      <w:r w:rsidR="005711B5">
        <w:rPr>
          <w:b/>
          <w:i/>
          <w:sz w:val="24"/>
          <w:szCs w:val="24"/>
        </w:rPr>
        <w:t>la</w:t>
      </w:r>
      <w:r>
        <w:rPr>
          <w:b/>
          <w:i/>
          <w:sz w:val="24"/>
          <w:szCs w:val="24"/>
        </w:rPr>
        <w:t xml:space="preserve"> relat</w:t>
      </w:r>
      <w:r w:rsidR="005711B5">
        <w:rPr>
          <w:b/>
          <w:i/>
          <w:sz w:val="24"/>
          <w:szCs w:val="24"/>
        </w:rPr>
        <w:t>rice</w:t>
      </w:r>
      <w:r>
        <w:rPr>
          <w:b/>
          <w:i/>
          <w:sz w:val="24"/>
          <w:szCs w:val="24"/>
        </w:rPr>
        <w:t xml:space="preserve">, On. </w:t>
      </w:r>
      <w:r w:rsidR="00EF7D9E" w:rsidRPr="00744F2A">
        <w:rPr>
          <w:b/>
          <w:i/>
          <w:sz w:val="24"/>
          <w:szCs w:val="24"/>
        </w:rPr>
        <w:t>Ambrosi</w:t>
      </w:r>
      <w:r>
        <w:rPr>
          <w:b/>
          <w:i/>
          <w:sz w:val="24"/>
          <w:szCs w:val="24"/>
        </w:rPr>
        <w:t>, ai fini della valutazione di conformità con il principio di sussidiarietà</w:t>
      </w:r>
    </w:p>
    <w:p w14:paraId="680D1041" w14:textId="787095D2" w:rsidR="00681C0B" w:rsidRPr="004D213B" w:rsidRDefault="00681C0B" w:rsidP="005711B5">
      <w:pPr>
        <w:ind w:firstLine="0"/>
        <w:rPr>
          <w:rFonts w:cs="Arial"/>
          <w:b/>
          <w:color w:val="000000" w:themeColor="text1"/>
          <w:sz w:val="24"/>
          <w:szCs w:val="24"/>
          <w:u w:val="single"/>
        </w:rPr>
      </w:pPr>
    </w:p>
    <w:p w14:paraId="081521DE" w14:textId="77777777" w:rsidR="000C3A7B" w:rsidRDefault="000C3A7B" w:rsidP="00744F2A">
      <w:pPr>
        <w:spacing w:line="360" w:lineRule="auto"/>
        <w:rPr>
          <w:rFonts w:eastAsia="Arial"/>
          <w:sz w:val="24"/>
          <w:szCs w:val="24"/>
        </w:rPr>
      </w:pPr>
    </w:p>
    <w:p w14:paraId="2FADB190" w14:textId="53874955" w:rsidR="00744F2A" w:rsidRDefault="00681C0B" w:rsidP="00744F2A">
      <w:pPr>
        <w:spacing w:line="360" w:lineRule="auto"/>
        <w:rPr>
          <w:rFonts w:eastAsia="Arial"/>
          <w:sz w:val="24"/>
          <w:szCs w:val="24"/>
        </w:rPr>
      </w:pPr>
      <w:r w:rsidRPr="0075002C">
        <w:rPr>
          <w:rFonts w:eastAsia="Arial"/>
          <w:sz w:val="24"/>
          <w:szCs w:val="24"/>
        </w:rPr>
        <w:t xml:space="preserve">La </w:t>
      </w:r>
      <w:r>
        <w:rPr>
          <w:rFonts w:eastAsia="Arial"/>
          <w:sz w:val="24"/>
          <w:szCs w:val="24"/>
        </w:rPr>
        <w:t xml:space="preserve">XIV </w:t>
      </w:r>
      <w:r w:rsidRPr="0075002C">
        <w:rPr>
          <w:rFonts w:eastAsia="Arial"/>
          <w:sz w:val="24"/>
          <w:szCs w:val="24"/>
        </w:rPr>
        <w:t>Commissione,</w:t>
      </w:r>
    </w:p>
    <w:p w14:paraId="674C3AC5" w14:textId="77777777" w:rsidR="000C3A7B" w:rsidRDefault="000C3A7B" w:rsidP="003C3C35">
      <w:pPr>
        <w:spacing w:line="360" w:lineRule="auto"/>
        <w:rPr>
          <w:sz w:val="24"/>
          <w:szCs w:val="24"/>
        </w:rPr>
      </w:pPr>
    </w:p>
    <w:p w14:paraId="7F38DDD9" w14:textId="1FAD0FAB" w:rsidR="00EF7D9E" w:rsidRDefault="00EF7D9E" w:rsidP="003C3C35">
      <w:pPr>
        <w:spacing w:line="360" w:lineRule="auto"/>
        <w:rPr>
          <w:sz w:val="24"/>
          <w:szCs w:val="24"/>
        </w:rPr>
      </w:pPr>
      <w:r w:rsidRPr="0028611D">
        <w:rPr>
          <w:sz w:val="24"/>
          <w:szCs w:val="24"/>
        </w:rPr>
        <w:t xml:space="preserve">esaminata, ai fini della verifica di conformità con il principio di sussidiarietà, la </w:t>
      </w:r>
      <w:r>
        <w:rPr>
          <w:sz w:val="24"/>
          <w:szCs w:val="24"/>
        </w:rPr>
        <w:t xml:space="preserve">proposta di </w:t>
      </w:r>
      <w:r w:rsidR="00305067">
        <w:rPr>
          <w:sz w:val="24"/>
          <w:szCs w:val="24"/>
        </w:rPr>
        <w:t>direttiva</w:t>
      </w:r>
      <w:r>
        <w:rPr>
          <w:sz w:val="24"/>
          <w:szCs w:val="24"/>
        </w:rPr>
        <w:t xml:space="preserve"> </w:t>
      </w:r>
      <w:r w:rsidRPr="00505570">
        <w:rPr>
          <w:sz w:val="24"/>
          <w:szCs w:val="24"/>
        </w:rPr>
        <w:t xml:space="preserve">che </w:t>
      </w:r>
      <w:r w:rsidR="00305067" w:rsidRPr="00305067">
        <w:rPr>
          <w:sz w:val="24"/>
          <w:szCs w:val="24"/>
        </w:rPr>
        <w:t xml:space="preserve">modifica lo </w:t>
      </w:r>
      <w:r w:rsidR="00305067" w:rsidRPr="00305067">
        <w:rPr>
          <w:i/>
          <w:sz w:val="24"/>
          <w:szCs w:val="24"/>
        </w:rPr>
        <w:t>status</w:t>
      </w:r>
      <w:r w:rsidR="00305067" w:rsidRPr="00305067">
        <w:rPr>
          <w:sz w:val="24"/>
          <w:szCs w:val="24"/>
        </w:rPr>
        <w:t xml:space="preserve"> di protezione del lupo</w:t>
      </w:r>
      <w:r w:rsidR="00EF3DF4">
        <w:rPr>
          <w:sz w:val="24"/>
          <w:szCs w:val="24"/>
        </w:rPr>
        <w:t xml:space="preserve"> (</w:t>
      </w:r>
      <w:proofErr w:type="gramStart"/>
      <w:r w:rsidR="00EF3DF4" w:rsidRPr="00664F93">
        <w:rPr>
          <w:sz w:val="24"/>
          <w:szCs w:val="24"/>
        </w:rPr>
        <w:t>COM(</w:t>
      </w:r>
      <w:proofErr w:type="gramEnd"/>
      <w:r w:rsidR="00EF3DF4" w:rsidRPr="00664F93">
        <w:rPr>
          <w:sz w:val="24"/>
          <w:szCs w:val="24"/>
        </w:rPr>
        <w:t>2025)</w:t>
      </w:r>
      <w:r w:rsidR="00EF3DF4">
        <w:rPr>
          <w:sz w:val="24"/>
          <w:szCs w:val="24"/>
        </w:rPr>
        <w:t>106)</w:t>
      </w:r>
      <w:r w:rsidRPr="00212623">
        <w:rPr>
          <w:sz w:val="24"/>
          <w:szCs w:val="24"/>
        </w:rPr>
        <w:t>;</w:t>
      </w:r>
    </w:p>
    <w:p w14:paraId="72D46A53" w14:textId="5F72A570" w:rsidR="00C23688" w:rsidRPr="00212623" w:rsidRDefault="00C23688" w:rsidP="003C3C35">
      <w:pPr>
        <w:spacing w:line="360" w:lineRule="auto"/>
        <w:rPr>
          <w:sz w:val="24"/>
          <w:szCs w:val="24"/>
        </w:rPr>
      </w:pPr>
      <w:r w:rsidRPr="005762BC">
        <w:rPr>
          <w:rFonts w:cs="Arial"/>
          <w:sz w:val="24"/>
          <w:szCs w:val="24"/>
        </w:rPr>
        <w:t xml:space="preserve">preso atto della </w:t>
      </w:r>
      <w:r w:rsidRPr="005762BC">
        <w:rPr>
          <w:rFonts w:eastAsia="Arial"/>
          <w:sz w:val="24"/>
          <w:szCs w:val="24"/>
        </w:rPr>
        <w:t>relazione</w:t>
      </w:r>
      <w:r w:rsidRPr="005762BC">
        <w:rPr>
          <w:rFonts w:cs="Arial"/>
          <w:sz w:val="24"/>
          <w:szCs w:val="24"/>
        </w:rPr>
        <w:t xml:space="preserve"> trasmessa dal Governo</w:t>
      </w:r>
      <w:r w:rsidR="00BB1482">
        <w:rPr>
          <w:rFonts w:cs="Arial"/>
          <w:sz w:val="24"/>
          <w:szCs w:val="24"/>
        </w:rPr>
        <w:t xml:space="preserve"> </w:t>
      </w:r>
      <w:r w:rsidRPr="005762BC">
        <w:rPr>
          <w:rFonts w:cs="Arial"/>
          <w:sz w:val="24"/>
          <w:szCs w:val="24"/>
        </w:rPr>
        <w:t>ai sensi dell’articolo 6, comma 5, della legge 24 dice</w:t>
      </w:r>
      <w:r w:rsidR="00BB1482">
        <w:rPr>
          <w:rFonts w:cs="Arial"/>
          <w:sz w:val="24"/>
          <w:szCs w:val="24"/>
        </w:rPr>
        <w:t>mbre 2012, n. 234, con la quale sostiene l’utilità della proposta</w:t>
      </w:r>
      <w:r>
        <w:rPr>
          <w:rFonts w:cs="Arial"/>
          <w:sz w:val="24"/>
          <w:szCs w:val="24"/>
        </w:rPr>
        <w:t>;</w:t>
      </w:r>
    </w:p>
    <w:p w14:paraId="1449A8FD" w14:textId="7E1E9EB2" w:rsidR="00427679" w:rsidRPr="0054798A" w:rsidRDefault="00681C0B" w:rsidP="0054798A">
      <w:pPr>
        <w:spacing w:line="360" w:lineRule="auto"/>
        <w:rPr>
          <w:sz w:val="24"/>
          <w:szCs w:val="24"/>
        </w:rPr>
      </w:pPr>
      <w:r w:rsidRPr="0054798A">
        <w:rPr>
          <w:sz w:val="24"/>
          <w:szCs w:val="24"/>
        </w:rPr>
        <w:t>tenuto conto degli elementi di conoscenza e di valutazione emersi nel corso delle audizioni svolte nell’ambito dell’esame della proposta;</w:t>
      </w:r>
    </w:p>
    <w:p w14:paraId="769C6FBE" w14:textId="3E24F738" w:rsidR="00C23688" w:rsidRDefault="001975AC" w:rsidP="005E0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tenuto conto, altresì, che </w:t>
      </w:r>
      <w:r w:rsidR="00C831A0" w:rsidRPr="001975AC">
        <w:rPr>
          <w:sz w:val="24"/>
          <w:szCs w:val="24"/>
        </w:rPr>
        <w:t>il Consiglio</w:t>
      </w:r>
      <w:r w:rsidR="00365FBE" w:rsidRPr="001975AC">
        <w:rPr>
          <w:sz w:val="24"/>
          <w:szCs w:val="24"/>
        </w:rPr>
        <w:t xml:space="preserve"> dell’UE</w:t>
      </w:r>
      <w:r w:rsidR="00C831A0" w:rsidRPr="001975AC">
        <w:rPr>
          <w:sz w:val="24"/>
          <w:szCs w:val="24"/>
        </w:rPr>
        <w:t xml:space="preserve"> ha adottato</w:t>
      </w:r>
      <w:r w:rsidR="00BB3200" w:rsidRPr="001975AC">
        <w:rPr>
          <w:sz w:val="24"/>
          <w:szCs w:val="24"/>
        </w:rPr>
        <w:t>,</w:t>
      </w:r>
      <w:r w:rsidR="00C831A0" w:rsidRPr="001975AC">
        <w:rPr>
          <w:sz w:val="24"/>
          <w:szCs w:val="24"/>
        </w:rPr>
        <w:t xml:space="preserve"> i</w:t>
      </w:r>
      <w:r w:rsidR="00FC4201">
        <w:rPr>
          <w:sz w:val="24"/>
          <w:szCs w:val="24"/>
        </w:rPr>
        <w:t>l</w:t>
      </w:r>
      <w:r w:rsidR="00C831A0" w:rsidRPr="001975AC">
        <w:rPr>
          <w:sz w:val="24"/>
          <w:szCs w:val="24"/>
        </w:rPr>
        <w:t xml:space="preserve"> </w:t>
      </w:r>
      <w:r w:rsidR="00016B27" w:rsidRPr="001975AC">
        <w:rPr>
          <w:sz w:val="24"/>
          <w:szCs w:val="24"/>
        </w:rPr>
        <w:t>16</w:t>
      </w:r>
      <w:r w:rsidR="00C831A0" w:rsidRPr="001975AC">
        <w:rPr>
          <w:sz w:val="24"/>
          <w:szCs w:val="24"/>
        </w:rPr>
        <w:t xml:space="preserve"> aprile 2025</w:t>
      </w:r>
      <w:r w:rsidR="00BB3200" w:rsidRPr="001975AC">
        <w:rPr>
          <w:sz w:val="24"/>
          <w:szCs w:val="24"/>
        </w:rPr>
        <w:t>,</w:t>
      </w:r>
      <w:r w:rsidR="00C831A0" w:rsidRPr="001975AC">
        <w:rPr>
          <w:sz w:val="24"/>
          <w:szCs w:val="24"/>
        </w:rPr>
        <w:t xml:space="preserve"> il</w:t>
      </w:r>
      <w:r w:rsidR="002F1154" w:rsidRPr="001975AC">
        <w:rPr>
          <w:sz w:val="24"/>
          <w:szCs w:val="24"/>
        </w:rPr>
        <w:t xml:space="preserve"> proprio mandato </w:t>
      </w:r>
      <w:r w:rsidR="00C831A0" w:rsidRPr="001975AC">
        <w:rPr>
          <w:sz w:val="24"/>
          <w:szCs w:val="24"/>
        </w:rPr>
        <w:t>in vista dell’avvio dei negoziati interistituzionali</w:t>
      </w:r>
      <w:r w:rsidR="00BB3200" w:rsidRPr="001975AC">
        <w:rPr>
          <w:sz w:val="24"/>
          <w:szCs w:val="24"/>
        </w:rPr>
        <w:t xml:space="preserve">, che </w:t>
      </w:r>
      <w:r w:rsidR="006D360C">
        <w:rPr>
          <w:sz w:val="24"/>
          <w:szCs w:val="24"/>
        </w:rPr>
        <w:t>non contiene modifiche rispetto alla proposta della Commissione</w:t>
      </w:r>
      <w:r w:rsidR="00365FBE" w:rsidRPr="001975AC">
        <w:rPr>
          <w:sz w:val="24"/>
          <w:szCs w:val="24"/>
        </w:rPr>
        <w:t>;</w:t>
      </w:r>
    </w:p>
    <w:p w14:paraId="6748C7CA" w14:textId="48C6CBF2" w:rsidR="00FC4201" w:rsidRDefault="00FC4201" w:rsidP="00FC4201">
      <w:pPr>
        <w:spacing w:line="360" w:lineRule="auto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considerato che </w:t>
      </w:r>
      <w:r w:rsidRPr="001975AC">
        <w:rPr>
          <w:rFonts w:eastAsia="Arial"/>
          <w:sz w:val="24"/>
          <w:szCs w:val="24"/>
        </w:rPr>
        <w:t>il Parlamento europeo, i</w:t>
      </w:r>
      <w:r>
        <w:rPr>
          <w:rFonts w:eastAsia="Arial"/>
          <w:sz w:val="24"/>
          <w:szCs w:val="24"/>
        </w:rPr>
        <w:t>l</w:t>
      </w:r>
      <w:r w:rsidRPr="001975AC">
        <w:rPr>
          <w:rFonts w:eastAsia="Arial"/>
          <w:sz w:val="24"/>
          <w:szCs w:val="24"/>
        </w:rPr>
        <w:t xml:space="preserve"> 18 marzo 2025, ha approvato il ricorso alla procedura d’urgenza ex articolo 170, comma 6, del suo Regolamento e adotterà la sua posizione in prima lettura indicativamente nella prima sessione plenaria di maggio 2025;  </w:t>
      </w:r>
    </w:p>
    <w:p w14:paraId="25B85661" w14:textId="77777777" w:rsidR="00114BAB" w:rsidRPr="001975AC" w:rsidRDefault="00114BAB" w:rsidP="005E0A0E">
      <w:pPr>
        <w:spacing w:line="360" w:lineRule="auto"/>
        <w:rPr>
          <w:sz w:val="24"/>
          <w:szCs w:val="24"/>
        </w:rPr>
      </w:pPr>
    </w:p>
    <w:p w14:paraId="05F4EC6F" w14:textId="67435FA7" w:rsidR="00C23688" w:rsidRDefault="000C3A7B" w:rsidP="005E0A0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considerato </w:t>
      </w:r>
      <w:r w:rsidR="00162BE3" w:rsidRPr="00B830FC">
        <w:rPr>
          <w:rFonts w:eastAsia="Arial"/>
          <w:sz w:val="24"/>
          <w:szCs w:val="24"/>
        </w:rPr>
        <w:t>pienamente condivisibile</w:t>
      </w:r>
      <w:r w:rsidR="00016B27">
        <w:rPr>
          <w:rFonts w:eastAsia="Arial"/>
          <w:sz w:val="24"/>
          <w:szCs w:val="24"/>
        </w:rPr>
        <w:t xml:space="preserve"> </w:t>
      </w:r>
      <w:r w:rsidR="00365FBE" w:rsidRPr="00B830FC">
        <w:rPr>
          <w:sz w:val="24"/>
          <w:szCs w:val="24"/>
        </w:rPr>
        <w:t>l’obiettivo gen</w:t>
      </w:r>
      <w:r w:rsidR="00B830FC">
        <w:rPr>
          <w:sz w:val="24"/>
          <w:szCs w:val="24"/>
        </w:rPr>
        <w:t xml:space="preserve">erale della proposta </w:t>
      </w:r>
      <w:r w:rsidR="002F1154" w:rsidRPr="002F1154">
        <w:rPr>
          <w:sz w:val="24"/>
          <w:szCs w:val="24"/>
        </w:rPr>
        <w:t>di adeguare il diritto dell'UE</w:t>
      </w:r>
      <w:r w:rsidR="002F1154">
        <w:rPr>
          <w:sz w:val="24"/>
          <w:szCs w:val="24"/>
        </w:rPr>
        <w:t xml:space="preserve"> </w:t>
      </w:r>
      <w:r w:rsidR="002F1154" w:rsidRPr="002F1154">
        <w:rPr>
          <w:sz w:val="24"/>
          <w:szCs w:val="24"/>
        </w:rPr>
        <w:t>a</w:t>
      </w:r>
      <w:r w:rsidR="002F1154">
        <w:rPr>
          <w:sz w:val="24"/>
          <w:szCs w:val="24"/>
        </w:rPr>
        <w:t>lla</w:t>
      </w:r>
      <w:r w:rsidR="004C7BF2">
        <w:rPr>
          <w:sz w:val="24"/>
          <w:szCs w:val="24"/>
        </w:rPr>
        <w:t xml:space="preserve"> C</w:t>
      </w:r>
      <w:r w:rsidR="002F1154" w:rsidRPr="002F1154">
        <w:rPr>
          <w:sz w:val="24"/>
          <w:szCs w:val="24"/>
        </w:rPr>
        <w:t>onvenzione di Berna</w:t>
      </w:r>
      <w:r w:rsidR="002F1154">
        <w:rPr>
          <w:sz w:val="24"/>
          <w:szCs w:val="24"/>
        </w:rPr>
        <w:t>, tramite una modifica della direttiva Habitat che</w:t>
      </w:r>
      <w:r w:rsidR="00F93626">
        <w:rPr>
          <w:sz w:val="24"/>
          <w:szCs w:val="24"/>
        </w:rPr>
        <w:t xml:space="preserve"> inserisce il </w:t>
      </w:r>
      <w:proofErr w:type="spellStart"/>
      <w:r w:rsidR="00F93626">
        <w:rPr>
          <w:i/>
          <w:sz w:val="24"/>
          <w:szCs w:val="24"/>
        </w:rPr>
        <w:t>canis</w:t>
      </w:r>
      <w:proofErr w:type="spellEnd"/>
      <w:r w:rsidR="00F93626">
        <w:rPr>
          <w:i/>
          <w:sz w:val="24"/>
          <w:szCs w:val="24"/>
        </w:rPr>
        <w:t xml:space="preserve"> lupus </w:t>
      </w:r>
      <w:r w:rsidR="00F93626">
        <w:rPr>
          <w:sz w:val="24"/>
          <w:szCs w:val="24"/>
        </w:rPr>
        <w:t xml:space="preserve">nell’allegato V della stessa e non più </w:t>
      </w:r>
      <w:r w:rsidR="00A11AD2">
        <w:rPr>
          <w:sz w:val="24"/>
          <w:szCs w:val="24"/>
        </w:rPr>
        <w:t>anche nell’allegato IV,</w:t>
      </w:r>
      <w:r w:rsidR="002F1154">
        <w:rPr>
          <w:sz w:val="24"/>
          <w:szCs w:val="24"/>
        </w:rPr>
        <w:t xml:space="preserve"> declassa</w:t>
      </w:r>
      <w:r w:rsidR="00A11AD2">
        <w:rPr>
          <w:sz w:val="24"/>
          <w:szCs w:val="24"/>
        </w:rPr>
        <w:t>ndo in questo modo</w:t>
      </w:r>
      <w:r w:rsidR="002F1154">
        <w:rPr>
          <w:sz w:val="24"/>
          <w:szCs w:val="24"/>
        </w:rPr>
        <w:t xml:space="preserve"> lo </w:t>
      </w:r>
      <w:r w:rsidR="002F1154">
        <w:rPr>
          <w:i/>
          <w:sz w:val="24"/>
          <w:szCs w:val="24"/>
        </w:rPr>
        <w:t xml:space="preserve">status </w:t>
      </w:r>
      <w:r w:rsidR="002F1154">
        <w:rPr>
          <w:sz w:val="24"/>
          <w:szCs w:val="24"/>
        </w:rPr>
        <w:t>di protezione del lupo da “rigorosamente tutelato” a “tutelato”;</w:t>
      </w:r>
    </w:p>
    <w:p w14:paraId="50F9E379" w14:textId="77777777" w:rsidR="00114BAB" w:rsidRDefault="00114BAB" w:rsidP="005E0A0E">
      <w:pPr>
        <w:spacing w:line="360" w:lineRule="auto"/>
        <w:rPr>
          <w:sz w:val="24"/>
          <w:szCs w:val="24"/>
        </w:rPr>
      </w:pPr>
    </w:p>
    <w:p w14:paraId="3C25B7C2" w14:textId="11DA4062" w:rsidR="00A11AD2" w:rsidRDefault="00A11AD2" w:rsidP="00A11AD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considerato</w:t>
      </w:r>
      <w:r w:rsidR="00C23688">
        <w:rPr>
          <w:sz w:val="24"/>
          <w:szCs w:val="24"/>
        </w:rPr>
        <w:t xml:space="preserve"> inoltre</w:t>
      </w:r>
      <w:r>
        <w:rPr>
          <w:sz w:val="24"/>
          <w:szCs w:val="24"/>
        </w:rPr>
        <w:t xml:space="preserve"> che: </w:t>
      </w:r>
    </w:p>
    <w:p w14:paraId="6AEF4045" w14:textId="4452901C" w:rsidR="00E95A60" w:rsidRDefault="00E95A60" w:rsidP="00A11AD2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proposta in esame è volta a contrastare il costante aumento della popolazione di lupi in tutta l’UE e in Italia, che è lo Stato membro con il maggior numero di esemplari</w:t>
      </w:r>
      <w:r w:rsidR="00BB1482">
        <w:rPr>
          <w:sz w:val="24"/>
          <w:szCs w:val="24"/>
        </w:rPr>
        <w:t xml:space="preserve">. Secondo </w:t>
      </w:r>
      <w:r w:rsidR="0001517C">
        <w:rPr>
          <w:sz w:val="24"/>
          <w:szCs w:val="24"/>
        </w:rPr>
        <w:t>dati riferiti da</w:t>
      </w:r>
      <w:r w:rsidR="00BB1482">
        <w:rPr>
          <w:sz w:val="24"/>
          <w:szCs w:val="24"/>
        </w:rPr>
        <w:t>ll’Istituto Superiore per la Protezione e la Ricerca Ambientale</w:t>
      </w:r>
      <w:r w:rsidR="0001517C">
        <w:rPr>
          <w:sz w:val="24"/>
          <w:szCs w:val="24"/>
        </w:rPr>
        <w:t xml:space="preserve"> </w:t>
      </w:r>
      <w:r w:rsidR="00BB1482">
        <w:rPr>
          <w:sz w:val="24"/>
          <w:szCs w:val="24"/>
        </w:rPr>
        <w:t>(</w:t>
      </w:r>
      <w:r w:rsidR="0001517C">
        <w:rPr>
          <w:sz w:val="24"/>
          <w:szCs w:val="24"/>
        </w:rPr>
        <w:t>ISPRA</w:t>
      </w:r>
      <w:r w:rsidR="00BB1482">
        <w:rPr>
          <w:sz w:val="24"/>
          <w:szCs w:val="24"/>
        </w:rPr>
        <w:t>)</w:t>
      </w:r>
      <w:r w:rsidR="0001517C">
        <w:rPr>
          <w:sz w:val="24"/>
          <w:szCs w:val="24"/>
        </w:rPr>
        <w:t xml:space="preserve">, infatti, in Italia si stimava la presenza nel 2021 di </w:t>
      </w:r>
      <w:r w:rsidR="00C23688">
        <w:rPr>
          <w:sz w:val="24"/>
          <w:szCs w:val="24"/>
        </w:rPr>
        <w:t>3500</w:t>
      </w:r>
      <w:r w:rsidR="0001517C">
        <w:rPr>
          <w:sz w:val="24"/>
          <w:szCs w:val="24"/>
        </w:rPr>
        <w:t xml:space="preserve"> lupi, circa la metà del numero di esemplari stimati nell’intero territorio degli USA, esclusa l’Alaska, che hanno una superficie 26 volte più ampia di quella italiana</w:t>
      </w:r>
      <w:r w:rsidR="00933FD3">
        <w:rPr>
          <w:sz w:val="24"/>
          <w:szCs w:val="24"/>
        </w:rPr>
        <w:t xml:space="preserve"> e territori meno antropizzati</w:t>
      </w:r>
      <w:r w:rsidR="0001517C">
        <w:rPr>
          <w:sz w:val="24"/>
          <w:szCs w:val="24"/>
        </w:rPr>
        <w:t xml:space="preserve">;  </w:t>
      </w:r>
    </w:p>
    <w:p w14:paraId="3175F8C7" w14:textId="52CC006C" w:rsidR="00933FD3" w:rsidRDefault="00933FD3" w:rsidP="00A11AD2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l’aumento della popolazione di lupi </w:t>
      </w:r>
      <w:r w:rsidR="00C23688">
        <w:rPr>
          <w:sz w:val="24"/>
          <w:szCs w:val="24"/>
        </w:rPr>
        <w:t>ha un impatto negativo sul settore zootecnico a causa dell</w:t>
      </w:r>
      <w:r>
        <w:rPr>
          <w:sz w:val="24"/>
          <w:szCs w:val="24"/>
        </w:rPr>
        <w:t>’intensificarsi degli attacchi agli allevamenti, con conseguenti difficoltà degli agricoltori che devono sostenere i costi diretti degli attacchi ma anche i costi indiretti, come aborti del bestiame, animali dispersi o feriti e un calo di produttività causato dallo stress subito dalle greggi o dalle mandrie</w:t>
      </w:r>
      <w:r w:rsidR="00C23688">
        <w:rPr>
          <w:sz w:val="24"/>
          <w:szCs w:val="24"/>
        </w:rPr>
        <w:t>. I costi indiretti non sono peraltro coperti da un sistema di indennizzi, che, anche quando applicabile, presenta criticità legate ai tempi di liquidazione eccessivamente lunghi</w:t>
      </w:r>
      <w:r>
        <w:rPr>
          <w:sz w:val="24"/>
          <w:szCs w:val="24"/>
        </w:rPr>
        <w:t>;</w:t>
      </w:r>
    </w:p>
    <w:p w14:paraId="6155222F" w14:textId="3A57D4C0" w:rsidR="00AF376F" w:rsidRDefault="001A5619" w:rsidP="001F4D49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10256F">
        <w:rPr>
          <w:sz w:val="24"/>
          <w:szCs w:val="24"/>
        </w:rPr>
        <w:t>le pressioni a cui è sottoposto</w:t>
      </w:r>
      <w:r w:rsidR="00AF376F">
        <w:rPr>
          <w:sz w:val="24"/>
          <w:szCs w:val="24"/>
        </w:rPr>
        <w:t xml:space="preserve"> il settore zootecnico sono </w:t>
      </w:r>
      <w:r w:rsidRPr="0010256F">
        <w:rPr>
          <w:sz w:val="24"/>
          <w:szCs w:val="24"/>
        </w:rPr>
        <w:t>dovute anche agli alti costi sostenuti per implementare misure di prevenzione, per</w:t>
      </w:r>
      <w:r w:rsidR="00C27456" w:rsidRPr="0010256F">
        <w:rPr>
          <w:sz w:val="24"/>
          <w:szCs w:val="24"/>
        </w:rPr>
        <w:t>altro spesso impraticabili nelle</w:t>
      </w:r>
      <w:r w:rsidRPr="0010256F">
        <w:rPr>
          <w:sz w:val="24"/>
          <w:szCs w:val="24"/>
        </w:rPr>
        <w:t xml:space="preserve"> ar</w:t>
      </w:r>
      <w:r w:rsidR="00C27456" w:rsidRPr="0010256F">
        <w:rPr>
          <w:sz w:val="24"/>
          <w:szCs w:val="24"/>
        </w:rPr>
        <w:t xml:space="preserve">ee di alta quota e per gli allevamenti </w:t>
      </w:r>
      <w:r w:rsidR="00BB1482">
        <w:rPr>
          <w:sz w:val="24"/>
          <w:szCs w:val="24"/>
        </w:rPr>
        <w:t>estensivi;</w:t>
      </w:r>
    </w:p>
    <w:p w14:paraId="71D448EE" w14:textId="7F9B1D53" w:rsidR="0010256F" w:rsidRDefault="00C27456" w:rsidP="001F4D49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10256F">
        <w:rPr>
          <w:sz w:val="24"/>
          <w:szCs w:val="24"/>
        </w:rPr>
        <w:t xml:space="preserve">gli attacchi dei lupi </w:t>
      </w:r>
      <w:r w:rsidR="00395151">
        <w:rPr>
          <w:sz w:val="24"/>
          <w:szCs w:val="24"/>
        </w:rPr>
        <w:t>determinano</w:t>
      </w:r>
      <w:r w:rsidR="00EF19CE" w:rsidRPr="0010256F">
        <w:rPr>
          <w:sz w:val="24"/>
          <w:szCs w:val="24"/>
        </w:rPr>
        <w:t xml:space="preserve"> </w:t>
      </w:r>
      <w:r w:rsidRPr="0010256F">
        <w:rPr>
          <w:sz w:val="24"/>
          <w:szCs w:val="24"/>
        </w:rPr>
        <w:t xml:space="preserve">la chiusura delle attività zootecniche che non riescono a sostenere i costi legati alla prevenzione e </w:t>
      </w:r>
      <w:r w:rsidR="00EF19CE" w:rsidRPr="0010256F">
        <w:rPr>
          <w:sz w:val="24"/>
          <w:szCs w:val="24"/>
        </w:rPr>
        <w:t xml:space="preserve">alle aggressioni </w:t>
      </w:r>
      <w:r w:rsidR="009405CF" w:rsidRPr="0010256F">
        <w:rPr>
          <w:sz w:val="24"/>
          <w:szCs w:val="24"/>
        </w:rPr>
        <w:t>al</w:t>
      </w:r>
      <w:r w:rsidR="00EF19CE" w:rsidRPr="0010256F">
        <w:rPr>
          <w:sz w:val="24"/>
          <w:szCs w:val="24"/>
        </w:rPr>
        <w:t xml:space="preserve"> bestiame</w:t>
      </w:r>
      <w:r w:rsidR="0010256F" w:rsidRPr="0010256F">
        <w:rPr>
          <w:sz w:val="24"/>
          <w:szCs w:val="24"/>
        </w:rPr>
        <w:t>. In aggiunta,</w:t>
      </w:r>
      <w:r w:rsidR="00AF376F">
        <w:rPr>
          <w:sz w:val="24"/>
          <w:szCs w:val="24"/>
        </w:rPr>
        <w:t xml:space="preserve"> in alcune aree, specialmente quelle montane,</w:t>
      </w:r>
      <w:r w:rsidR="0010256F" w:rsidRPr="0010256F">
        <w:rPr>
          <w:sz w:val="24"/>
          <w:szCs w:val="24"/>
        </w:rPr>
        <w:t xml:space="preserve"> la forte presenza di lupi scoraggia </w:t>
      </w:r>
      <w:r w:rsidR="00AF376F">
        <w:rPr>
          <w:sz w:val="24"/>
          <w:szCs w:val="24"/>
        </w:rPr>
        <w:t>il</w:t>
      </w:r>
      <w:r w:rsidR="0010256F" w:rsidRPr="0010256F">
        <w:rPr>
          <w:sz w:val="24"/>
          <w:szCs w:val="24"/>
        </w:rPr>
        <w:t xml:space="preserve"> turismo che, assieme all’allevamento, rappresenta una delle poche attività sostenibili per l’economia del territorio</w:t>
      </w:r>
      <w:r w:rsidR="001832B6">
        <w:rPr>
          <w:sz w:val="24"/>
          <w:szCs w:val="24"/>
        </w:rPr>
        <w:t xml:space="preserve">. Diversi rappresentanti delle amministrazioni di tali zone e alcune associazioni hanno sottolineato </w:t>
      </w:r>
      <w:r w:rsidR="0066536C">
        <w:rPr>
          <w:sz w:val="24"/>
          <w:szCs w:val="24"/>
        </w:rPr>
        <w:t xml:space="preserve">come </w:t>
      </w:r>
      <w:r w:rsidR="001832B6">
        <w:rPr>
          <w:sz w:val="24"/>
          <w:szCs w:val="24"/>
        </w:rPr>
        <w:t xml:space="preserve">questi fattori determinino un </w:t>
      </w:r>
      <w:r w:rsidR="00BA14A2">
        <w:rPr>
          <w:sz w:val="24"/>
          <w:szCs w:val="24"/>
        </w:rPr>
        <w:t xml:space="preserve">progressivo abbandono dei territori </w:t>
      </w:r>
      <w:r w:rsidR="001832B6">
        <w:rPr>
          <w:sz w:val="24"/>
          <w:szCs w:val="24"/>
        </w:rPr>
        <w:t>rurali</w:t>
      </w:r>
      <w:r w:rsidR="0010256F" w:rsidRPr="0010256F">
        <w:rPr>
          <w:sz w:val="24"/>
          <w:szCs w:val="24"/>
        </w:rPr>
        <w:t>;</w:t>
      </w:r>
    </w:p>
    <w:p w14:paraId="114ADADB" w14:textId="47B97315" w:rsidR="001975AC" w:rsidRPr="00E2114A" w:rsidRDefault="00C23688" w:rsidP="005E0A0E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crescita esponenziale </w:t>
      </w:r>
      <w:r w:rsidR="00E41FE3">
        <w:rPr>
          <w:sz w:val="24"/>
          <w:szCs w:val="24"/>
        </w:rPr>
        <w:t xml:space="preserve">della specie preoccupa anche i cittadini in quanto, </w:t>
      </w:r>
      <w:r w:rsidR="00E41FE3">
        <w:rPr>
          <w:rFonts w:eastAsia="Arial" w:cs="Arial"/>
          <w:iCs/>
          <w:sz w:val="24"/>
          <w:szCs w:val="24"/>
        </w:rPr>
        <w:t xml:space="preserve">come sottolineato nella relazione trasmessa dal Governo, sono sempre più frequenti attacchi ad animali d’affezione e </w:t>
      </w:r>
      <w:r w:rsidR="000C75F4">
        <w:rPr>
          <w:rFonts w:eastAsia="Arial" w:cs="Arial"/>
          <w:iCs/>
          <w:sz w:val="24"/>
          <w:szCs w:val="24"/>
        </w:rPr>
        <w:t xml:space="preserve">i </w:t>
      </w:r>
      <w:r w:rsidR="00E41FE3">
        <w:rPr>
          <w:rFonts w:eastAsia="Arial" w:cs="Arial"/>
          <w:iCs/>
          <w:sz w:val="24"/>
          <w:szCs w:val="24"/>
        </w:rPr>
        <w:t xml:space="preserve">casi di lupi confidenti che si avvicinano ai centri abitati </w:t>
      </w:r>
      <w:r w:rsidR="00395151">
        <w:rPr>
          <w:rFonts w:eastAsia="Arial" w:cs="Arial"/>
          <w:iCs/>
          <w:sz w:val="24"/>
          <w:szCs w:val="24"/>
        </w:rPr>
        <w:t>e</w:t>
      </w:r>
      <w:r w:rsidR="00E41FE3">
        <w:rPr>
          <w:rFonts w:eastAsia="Arial" w:cs="Arial"/>
          <w:iCs/>
          <w:sz w:val="24"/>
          <w:szCs w:val="24"/>
        </w:rPr>
        <w:t xml:space="preserve"> rappresentano una minaccia per l’uomo. </w:t>
      </w:r>
      <w:r w:rsidR="00FC3D4C">
        <w:rPr>
          <w:rFonts w:eastAsia="Arial" w:cs="Arial"/>
          <w:iCs/>
          <w:sz w:val="24"/>
          <w:szCs w:val="24"/>
        </w:rPr>
        <w:t xml:space="preserve">Dal 2017 al 2024, infatti, 7 </w:t>
      </w:r>
      <w:r w:rsidR="0010256F">
        <w:rPr>
          <w:rFonts w:eastAsia="Arial" w:cs="Arial"/>
          <w:iCs/>
          <w:sz w:val="24"/>
          <w:szCs w:val="24"/>
        </w:rPr>
        <w:t>esemplari</w:t>
      </w:r>
      <w:r w:rsidR="00FC3D4C">
        <w:rPr>
          <w:rFonts w:eastAsia="Arial" w:cs="Arial"/>
          <w:iCs/>
          <w:sz w:val="24"/>
          <w:szCs w:val="24"/>
        </w:rPr>
        <w:t xml:space="preserve"> hanno prodotto 19 aggressioni, tra le quali un attacco ad un </w:t>
      </w:r>
      <w:r w:rsidR="0010256F">
        <w:rPr>
          <w:rFonts w:eastAsia="Arial" w:cs="Arial"/>
          <w:iCs/>
          <w:sz w:val="24"/>
          <w:szCs w:val="24"/>
        </w:rPr>
        <w:t>bambino di 4 anni in un parco del</w:t>
      </w:r>
      <w:r w:rsidR="00FC3D4C">
        <w:rPr>
          <w:rFonts w:eastAsia="Arial" w:cs="Arial"/>
          <w:iCs/>
          <w:sz w:val="24"/>
          <w:szCs w:val="24"/>
        </w:rPr>
        <w:t xml:space="preserve"> centro abitato di Roma. </w:t>
      </w:r>
      <w:r w:rsidR="001A5619">
        <w:rPr>
          <w:rFonts w:eastAsia="Arial" w:cs="Arial"/>
          <w:iCs/>
          <w:sz w:val="24"/>
          <w:szCs w:val="24"/>
        </w:rPr>
        <w:t>La</w:t>
      </w:r>
      <w:r w:rsidR="00FC3D4C">
        <w:rPr>
          <w:rFonts w:eastAsia="Arial" w:cs="Arial"/>
          <w:iCs/>
          <w:sz w:val="24"/>
          <w:szCs w:val="24"/>
        </w:rPr>
        <w:t xml:space="preserve"> preoccupazione </w:t>
      </w:r>
      <w:r w:rsidR="001A5619">
        <w:rPr>
          <w:rFonts w:eastAsia="Arial" w:cs="Arial"/>
          <w:iCs/>
          <w:sz w:val="24"/>
          <w:szCs w:val="24"/>
        </w:rPr>
        <w:t>per la sicurezza pubblica</w:t>
      </w:r>
      <w:r w:rsidR="00E21605">
        <w:rPr>
          <w:rFonts w:eastAsia="Arial" w:cs="Arial"/>
          <w:iCs/>
          <w:sz w:val="24"/>
          <w:szCs w:val="24"/>
        </w:rPr>
        <w:t>, tra l’altro,</w:t>
      </w:r>
      <w:r w:rsidR="001A5619">
        <w:rPr>
          <w:rFonts w:eastAsia="Arial" w:cs="Arial"/>
          <w:iCs/>
          <w:sz w:val="24"/>
          <w:szCs w:val="24"/>
        </w:rPr>
        <w:t xml:space="preserve"> </w:t>
      </w:r>
      <w:r w:rsidR="00FC3D4C">
        <w:rPr>
          <w:rFonts w:eastAsia="Arial" w:cs="Arial"/>
          <w:iCs/>
          <w:sz w:val="24"/>
          <w:szCs w:val="24"/>
        </w:rPr>
        <w:t xml:space="preserve">è stata condivisa </w:t>
      </w:r>
      <w:r w:rsidR="001A5619">
        <w:rPr>
          <w:rFonts w:eastAsia="Arial" w:cs="Arial"/>
          <w:iCs/>
          <w:sz w:val="24"/>
          <w:szCs w:val="24"/>
        </w:rPr>
        <w:t xml:space="preserve">nel corso </w:t>
      </w:r>
      <w:r w:rsidR="00E21605">
        <w:rPr>
          <w:rFonts w:eastAsia="Arial" w:cs="Arial"/>
          <w:iCs/>
          <w:sz w:val="24"/>
          <w:szCs w:val="24"/>
        </w:rPr>
        <w:t>delle audizioni</w:t>
      </w:r>
      <w:r w:rsidR="001A5619">
        <w:rPr>
          <w:rFonts w:eastAsia="Arial" w:cs="Arial"/>
          <w:iCs/>
          <w:sz w:val="24"/>
          <w:szCs w:val="24"/>
        </w:rPr>
        <w:t xml:space="preserve"> dai rappresentanti delle zone montane del Trentino-Alto Adige;</w:t>
      </w:r>
    </w:p>
    <w:p w14:paraId="19FD7AD9" w14:textId="3C0333DC" w:rsidR="00A5126F" w:rsidRDefault="00E2114A" w:rsidP="00B87277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rFonts w:eastAsia="Arial" w:cs="Arial"/>
          <w:iCs/>
          <w:sz w:val="24"/>
          <w:szCs w:val="24"/>
        </w:rPr>
        <w:t>la gestione della popolazione di lupi tramite l’applicazione della deroga p</w:t>
      </w:r>
      <w:r w:rsidRPr="00E2114A">
        <w:rPr>
          <w:rFonts w:eastAsia="Arial" w:cs="Arial"/>
          <w:iCs/>
          <w:sz w:val="24"/>
          <w:szCs w:val="24"/>
        </w:rPr>
        <w:t>revista dall’articolo 16 della direttiva Habit</w:t>
      </w:r>
      <w:r w:rsidR="003D6714">
        <w:rPr>
          <w:rFonts w:eastAsia="Arial" w:cs="Arial"/>
          <w:iCs/>
          <w:sz w:val="24"/>
          <w:szCs w:val="24"/>
        </w:rPr>
        <w:t>at non è adatta ad affrontare le</w:t>
      </w:r>
      <w:r>
        <w:rPr>
          <w:rFonts w:eastAsia="Arial" w:cs="Arial"/>
          <w:iCs/>
          <w:sz w:val="24"/>
          <w:szCs w:val="24"/>
        </w:rPr>
        <w:t xml:space="preserve"> criticit</w:t>
      </w:r>
      <w:r w:rsidR="003D6714">
        <w:rPr>
          <w:rFonts w:eastAsia="Arial" w:cs="Arial"/>
          <w:iCs/>
          <w:sz w:val="24"/>
          <w:szCs w:val="24"/>
        </w:rPr>
        <w:t xml:space="preserve">à </w:t>
      </w:r>
      <w:r w:rsidR="002A53B3">
        <w:rPr>
          <w:rFonts w:eastAsia="Arial" w:cs="Arial"/>
          <w:iCs/>
          <w:sz w:val="24"/>
          <w:szCs w:val="24"/>
        </w:rPr>
        <w:t>descritte precedentemente</w:t>
      </w:r>
      <w:r w:rsidR="003D6714">
        <w:rPr>
          <w:rFonts w:eastAsia="Arial" w:cs="Arial"/>
          <w:iCs/>
          <w:sz w:val="24"/>
          <w:szCs w:val="24"/>
        </w:rPr>
        <w:t xml:space="preserve">, </w:t>
      </w:r>
      <w:r w:rsidR="002A53B3">
        <w:rPr>
          <w:rFonts w:eastAsia="Arial" w:cs="Arial"/>
          <w:iCs/>
          <w:sz w:val="24"/>
          <w:szCs w:val="24"/>
        </w:rPr>
        <w:t xml:space="preserve">data la complessità e la durata degli </w:t>
      </w:r>
      <w:r w:rsidR="002A53B3">
        <w:rPr>
          <w:rFonts w:eastAsia="Arial" w:cs="Arial"/>
          <w:i/>
          <w:iCs/>
          <w:sz w:val="24"/>
          <w:szCs w:val="24"/>
        </w:rPr>
        <w:t xml:space="preserve">iter </w:t>
      </w:r>
      <w:r w:rsidR="002A53B3">
        <w:rPr>
          <w:rFonts w:eastAsia="Arial" w:cs="Arial"/>
          <w:iCs/>
          <w:sz w:val="24"/>
          <w:szCs w:val="24"/>
        </w:rPr>
        <w:t>burocratici che le autorità devono segu</w:t>
      </w:r>
      <w:r w:rsidR="00B87277">
        <w:rPr>
          <w:rFonts w:eastAsia="Arial" w:cs="Arial"/>
          <w:iCs/>
          <w:sz w:val="24"/>
          <w:szCs w:val="24"/>
        </w:rPr>
        <w:t>ire per poter ricorrere ad essa</w:t>
      </w:r>
      <w:r w:rsidR="00B87277" w:rsidRPr="00B87277">
        <w:rPr>
          <w:sz w:val="24"/>
          <w:szCs w:val="24"/>
        </w:rPr>
        <w:t>;</w:t>
      </w:r>
    </w:p>
    <w:p w14:paraId="583DE4B7" w14:textId="2482B718" w:rsidR="00114BAB" w:rsidRDefault="003358AD" w:rsidP="000678FB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3358AD">
        <w:rPr>
          <w:sz w:val="24"/>
          <w:szCs w:val="24"/>
        </w:rPr>
        <w:t xml:space="preserve">l’inserimento del </w:t>
      </w:r>
      <w:proofErr w:type="spellStart"/>
      <w:r w:rsidRPr="003358AD">
        <w:rPr>
          <w:i/>
          <w:iCs/>
          <w:sz w:val="24"/>
          <w:szCs w:val="24"/>
        </w:rPr>
        <w:t>canis</w:t>
      </w:r>
      <w:proofErr w:type="spellEnd"/>
      <w:r w:rsidRPr="003358AD">
        <w:rPr>
          <w:i/>
          <w:iCs/>
          <w:sz w:val="24"/>
          <w:szCs w:val="24"/>
        </w:rPr>
        <w:t xml:space="preserve"> lupus </w:t>
      </w:r>
      <w:r w:rsidRPr="003358AD">
        <w:rPr>
          <w:sz w:val="24"/>
          <w:szCs w:val="24"/>
        </w:rPr>
        <w:t>nell’allegato V della direttiva Habitat e non più nell’allegato IV consentirebbe di autorizzare a livello nazionale, in coerenza con l’articolo 14 della medesima direttiva, attività di caccia, fermo restando il continuo monitoraggio della popolazione e la garanzia dello stato di conservazione soddisfacente della specie. A questo riguardo andrà valutata, in sede di recepimento della direttiva nell’ordinamento italiano, l’introduzione di forme di caccia selettive</w:t>
      </w:r>
      <w:r w:rsidR="000678FB">
        <w:rPr>
          <w:sz w:val="24"/>
          <w:szCs w:val="24"/>
        </w:rPr>
        <w:t xml:space="preserve">. </w:t>
      </w:r>
      <w:r w:rsidR="000678FB" w:rsidRPr="000678FB">
        <w:rPr>
          <w:sz w:val="24"/>
          <w:szCs w:val="24"/>
        </w:rPr>
        <w:t>A questo scopo andrà modificata la normativa nazionale vigente, con particolare riferimento alla legge 157 del 1992, prevedendo una gestione attiva delle popolazioni anche tramite pre</w:t>
      </w:r>
      <w:r w:rsidR="000678FB">
        <w:rPr>
          <w:sz w:val="24"/>
          <w:szCs w:val="24"/>
        </w:rPr>
        <w:t>lievi letali, come già previsto</w:t>
      </w:r>
      <w:r w:rsidR="000678FB" w:rsidRPr="000678FB">
        <w:rPr>
          <w:sz w:val="24"/>
          <w:szCs w:val="24"/>
        </w:rPr>
        <w:t xml:space="preserve"> in alcuni Stati membri dell’UE</w:t>
      </w:r>
      <w:r w:rsidRPr="003358AD">
        <w:rPr>
          <w:sz w:val="24"/>
          <w:szCs w:val="24"/>
        </w:rPr>
        <w:t>;</w:t>
      </w:r>
      <w:bookmarkStart w:id="0" w:name="_GoBack"/>
      <w:bookmarkEnd w:id="0"/>
    </w:p>
    <w:p w14:paraId="47DF230C" w14:textId="77777777" w:rsidR="00126A2D" w:rsidRPr="00126A2D" w:rsidRDefault="00126A2D" w:rsidP="00126A2D">
      <w:pPr>
        <w:spacing w:line="360" w:lineRule="auto"/>
        <w:rPr>
          <w:sz w:val="24"/>
          <w:szCs w:val="24"/>
        </w:rPr>
      </w:pPr>
    </w:p>
    <w:p w14:paraId="6E781BC9" w14:textId="69495AAE" w:rsidR="00343C55" w:rsidRDefault="00353F91" w:rsidP="005E0A0E">
      <w:pPr>
        <w:spacing w:line="360" w:lineRule="auto"/>
        <w:rPr>
          <w:sz w:val="24"/>
          <w:szCs w:val="24"/>
        </w:rPr>
      </w:pPr>
      <w:r w:rsidRPr="0054798A">
        <w:rPr>
          <w:sz w:val="24"/>
          <w:szCs w:val="24"/>
        </w:rPr>
        <w:t xml:space="preserve">rilevato, con riferimento al rispetto del principio di attribuzione, che la base giuridica su cui si fonda la proposta è correttamente individuata dalla Commissione europea </w:t>
      </w:r>
      <w:r w:rsidR="00A11AD2" w:rsidRPr="00A11AD2">
        <w:rPr>
          <w:sz w:val="24"/>
          <w:szCs w:val="24"/>
        </w:rPr>
        <w:t>dall'articolo 192, paragrafo 1, TFUE, che</w:t>
      </w:r>
      <w:r w:rsidR="00A11AD2">
        <w:rPr>
          <w:sz w:val="24"/>
          <w:szCs w:val="24"/>
        </w:rPr>
        <w:t xml:space="preserve"> </w:t>
      </w:r>
      <w:r w:rsidR="00A11AD2" w:rsidRPr="00A11AD2">
        <w:rPr>
          <w:sz w:val="24"/>
          <w:szCs w:val="24"/>
        </w:rPr>
        <w:t>stabilisce le modalità di attuazione degli obiettivi della politica ambientale dell'Unione previsti</w:t>
      </w:r>
      <w:r w:rsidR="00A11AD2">
        <w:rPr>
          <w:sz w:val="24"/>
          <w:szCs w:val="24"/>
        </w:rPr>
        <w:t xml:space="preserve"> </w:t>
      </w:r>
      <w:r w:rsidR="00A11AD2" w:rsidRPr="00A11AD2">
        <w:rPr>
          <w:sz w:val="24"/>
          <w:szCs w:val="24"/>
        </w:rPr>
        <w:t>dall'articolo 191 del TFUE</w:t>
      </w:r>
      <w:r w:rsidRPr="0054798A">
        <w:rPr>
          <w:sz w:val="24"/>
          <w:szCs w:val="24"/>
        </w:rPr>
        <w:t xml:space="preserve">; </w:t>
      </w:r>
    </w:p>
    <w:p w14:paraId="3E28ACFD" w14:textId="77777777" w:rsidR="00114BAB" w:rsidRPr="0054798A" w:rsidRDefault="00114BAB" w:rsidP="005E0A0E">
      <w:pPr>
        <w:spacing w:line="360" w:lineRule="auto"/>
        <w:rPr>
          <w:sz w:val="24"/>
          <w:szCs w:val="24"/>
        </w:rPr>
      </w:pPr>
    </w:p>
    <w:p w14:paraId="0FEB0400" w14:textId="693E1759" w:rsidR="001A5619" w:rsidRDefault="00353F91" w:rsidP="005E0A0E">
      <w:pPr>
        <w:spacing w:line="360" w:lineRule="auto"/>
        <w:rPr>
          <w:sz w:val="24"/>
          <w:szCs w:val="24"/>
        </w:rPr>
      </w:pPr>
      <w:r w:rsidRPr="0054798A">
        <w:rPr>
          <w:sz w:val="24"/>
          <w:szCs w:val="24"/>
        </w:rPr>
        <w:t>considerata la proposta conforme al principio di sussidiarietà,</w:t>
      </w:r>
      <w:r w:rsidR="0033363F">
        <w:rPr>
          <w:sz w:val="24"/>
          <w:szCs w:val="24"/>
        </w:rPr>
        <w:t xml:space="preserve"> in quanto è volta a</w:t>
      </w:r>
      <w:r w:rsidR="0033363F" w:rsidRPr="0033363F">
        <w:rPr>
          <w:sz w:val="24"/>
          <w:szCs w:val="24"/>
        </w:rPr>
        <w:t xml:space="preserve"> recepire</w:t>
      </w:r>
      <w:r w:rsidR="0033363F">
        <w:rPr>
          <w:sz w:val="24"/>
          <w:szCs w:val="24"/>
        </w:rPr>
        <w:t xml:space="preserve"> </w:t>
      </w:r>
      <w:r w:rsidR="0033363F" w:rsidRPr="0033363F">
        <w:rPr>
          <w:sz w:val="24"/>
          <w:szCs w:val="24"/>
        </w:rPr>
        <w:t xml:space="preserve">nel diritto dell'Unione gli emendamenti alla </w:t>
      </w:r>
      <w:r w:rsidR="006C5710">
        <w:rPr>
          <w:sz w:val="24"/>
          <w:szCs w:val="24"/>
        </w:rPr>
        <w:t>C</w:t>
      </w:r>
      <w:r w:rsidR="0033363F" w:rsidRPr="0033363F">
        <w:rPr>
          <w:sz w:val="24"/>
          <w:szCs w:val="24"/>
        </w:rPr>
        <w:t>onvenzione di Berna, tramite la modifica della</w:t>
      </w:r>
      <w:r w:rsidR="0033363F">
        <w:rPr>
          <w:sz w:val="24"/>
          <w:szCs w:val="24"/>
        </w:rPr>
        <w:t xml:space="preserve"> </w:t>
      </w:r>
      <w:r w:rsidR="0033363F" w:rsidRPr="0033363F">
        <w:rPr>
          <w:sz w:val="24"/>
          <w:szCs w:val="24"/>
        </w:rPr>
        <w:t xml:space="preserve">direttiva Habitat, </w:t>
      </w:r>
      <w:r w:rsidR="00EF3DF4">
        <w:rPr>
          <w:sz w:val="24"/>
          <w:szCs w:val="24"/>
        </w:rPr>
        <w:t xml:space="preserve">la quale </w:t>
      </w:r>
      <w:r w:rsidR="0033363F" w:rsidRPr="0033363F">
        <w:rPr>
          <w:sz w:val="24"/>
          <w:szCs w:val="24"/>
        </w:rPr>
        <w:t>rappresenta uno dei principali strumenti con cui l'UE attua i propri obblighi</w:t>
      </w:r>
      <w:r w:rsidR="0033363F">
        <w:rPr>
          <w:sz w:val="24"/>
          <w:szCs w:val="24"/>
        </w:rPr>
        <w:t xml:space="preserve"> </w:t>
      </w:r>
      <w:r w:rsidR="0033363F" w:rsidRPr="0033363F">
        <w:rPr>
          <w:sz w:val="24"/>
          <w:szCs w:val="24"/>
        </w:rPr>
        <w:t>internazion</w:t>
      </w:r>
      <w:r w:rsidR="008B23A6">
        <w:rPr>
          <w:sz w:val="24"/>
          <w:szCs w:val="24"/>
        </w:rPr>
        <w:t xml:space="preserve">ali ai sensi della </w:t>
      </w:r>
      <w:r w:rsidR="006C5710">
        <w:rPr>
          <w:sz w:val="24"/>
          <w:szCs w:val="24"/>
        </w:rPr>
        <w:t xml:space="preserve">medesima </w:t>
      </w:r>
      <w:r w:rsidR="004C7BF2">
        <w:rPr>
          <w:sz w:val="24"/>
          <w:szCs w:val="24"/>
        </w:rPr>
        <w:t>C</w:t>
      </w:r>
      <w:r w:rsidR="008B23A6">
        <w:rPr>
          <w:sz w:val="24"/>
          <w:szCs w:val="24"/>
        </w:rPr>
        <w:t>onvenzione;</w:t>
      </w:r>
    </w:p>
    <w:p w14:paraId="3F08CDE1" w14:textId="77777777" w:rsidR="00114BAB" w:rsidRDefault="00114BAB" w:rsidP="005E0A0E">
      <w:pPr>
        <w:spacing w:line="360" w:lineRule="auto"/>
        <w:rPr>
          <w:sz w:val="24"/>
          <w:szCs w:val="24"/>
        </w:rPr>
      </w:pPr>
    </w:p>
    <w:p w14:paraId="129512C0" w14:textId="6901D60C" w:rsidR="00817533" w:rsidRDefault="00B55E1C" w:rsidP="008F461F">
      <w:pPr>
        <w:spacing w:line="360" w:lineRule="auto"/>
        <w:rPr>
          <w:sz w:val="24"/>
          <w:szCs w:val="24"/>
        </w:rPr>
      </w:pPr>
      <w:r w:rsidRPr="00B55E1C">
        <w:rPr>
          <w:sz w:val="24"/>
          <w:szCs w:val="24"/>
        </w:rPr>
        <w:t>ritenut</w:t>
      </w:r>
      <w:r w:rsidR="00EF3DF4">
        <w:rPr>
          <w:sz w:val="24"/>
          <w:szCs w:val="24"/>
        </w:rPr>
        <w:t>a</w:t>
      </w:r>
      <w:r w:rsidRPr="00B55E1C">
        <w:rPr>
          <w:sz w:val="24"/>
          <w:szCs w:val="24"/>
        </w:rPr>
        <w:t xml:space="preserve"> la proposta </w:t>
      </w:r>
      <w:r w:rsidR="006C5710">
        <w:rPr>
          <w:sz w:val="24"/>
          <w:szCs w:val="24"/>
        </w:rPr>
        <w:t xml:space="preserve">pienamente </w:t>
      </w:r>
      <w:r w:rsidRPr="00B55E1C">
        <w:rPr>
          <w:sz w:val="24"/>
          <w:szCs w:val="24"/>
        </w:rPr>
        <w:t xml:space="preserve">coerente con il principio di proporzionalità </w:t>
      </w:r>
      <w:r w:rsidR="008B23A6">
        <w:rPr>
          <w:sz w:val="24"/>
          <w:szCs w:val="24"/>
        </w:rPr>
        <w:t>in quanto</w:t>
      </w:r>
      <w:r w:rsidR="006C5710">
        <w:rPr>
          <w:sz w:val="24"/>
          <w:szCs w:val="24"/>
        </w:rPr>
        <w:t xml:space="preserve"> essa</w:t>
      </w:r>
      <w:r w:rsidR="00817533">
        <w:rPr>
          <w:sz w:val="24"/>
          <w:szCs w:val="24"/>
        </w:rPr>
        <w:t>:</w:t>
      </w:r>
    </w:p>
    <w:p w14:paraId="6B56A4B4" w14:textId="7CD60B89" w:rsidR="00817533" w:rsidRDefault="00B55E1C" w:rsidP="00817533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817533">
        <w:rPr>
          <w:sz w:val="24"/>
          <w:szCs w:val="24"/>
        </w:rPr>
        <w:t xml:space="preserve">si limita </w:t>
      </w:r>
      <w:r w:rsidR="00FC4201">
        <w:rPr>
          <w:sz w:val="24"/>
          <w:szCs w:val="24"/>
        </w:rPr>
        <w:t xml:space="preserve">ad apportare </w:t>
      </w:r>
      <w:r w:rsidRPr="00817533">
        <w:rPr>
          <w:sz w:val="24"/>
          <w:szCs w:val="24"/>
        </w:rPr>
        <w:t xml:space="preserve">alla direttiva Habitat </w:t>
      </w:r>
      <w:r w:rsidR="00FC4201" w:rsidRPr="00817533">
        <w:rPr>
          <w:sz w:val="24"/>
          <w:szCs w:val="24"/>
        </w:rPr>
        <w:t xml:space="preserve">esclusivamente </w:t>
      </w:r>
      <w:r w:rsidR="00FC4201">
        <w:rPr>
          <w:sz w:val="24"/>
          <w:szCs w:val="24"/>
        </w:rPr>
        <w:t xml:space="preserve">le modifiche necessarie per attuare la </w:t>
      </w:r>
      <w:r w:rsidR="00FC4201" w:rsidRPr="00817533">
        <w:rPr>
          <w:sz w:val="24"/>
          <w:szCs w:val="24"/>
        </w:rPr>
        <w:t>decisione con la qual</w:t>
      </w:r>
      <w:r w:rsidR="004C7BF2">
        <w:rPr>
          <w:sz w:val="24"/>
          <w:szCs w:val="24"/>
        </w:rPr>
        <w:t>e il comitato permanente della C</w:t>
      </w:r>
      <w:r w:rsidR="00FC4201" w:rsidRPr="00817533">
        <w:rPr>
          <w:sz w:val="24"/>
          <w:szCs w:val="24"/>
        </w:rPr>
        <w:t xml:space="preserve">onvenzione di Berna ha </w:t>
      </w:r>
      <w:r w:rsidR="00FC4201">
        <w:rPr>
          <w:sz w:val="24"/>
          <w:szCs w:val="24"/>
        </w:rPr>
        <w:t xml:space="preserve">ridefinito </w:t>
      </w:r>
      <w:r w:rsidR="00FC4201" w:rsidRPr="00817533">
        <w:rPr>
          <w:sz w:val="24"/>
          <w:szCs w:val="24"/>
        </w:rPr>
        <w:t xml:space="preserve">lo </w:t>
      </w:r>
      <w:r w:rsidR="00FC4201" w:rsidRPr="00817533">
        <w:rPr>
          <w:i/>
          <w:sz w:val="24"/>
          <w:szCs w:val="24"/>
        </w:rPr>
        <w:t>status</w:t>
      </w:r>
      <w:r w:rsidR="00FC4201" w:rsidRPr="00817533">
        <w:rPr>
          <w:sz w:val="24"/>
          <w:szCs w:val="24"/>
        </w:rPr>
        <w:t xml:space="preserve"> di protezione del lupo. La proposta </w:t>
      </w:r>
      <w:r w:rsidR="008D23B3">
        <w:rPr>
          <w:sz w:val="24"/>
          <w:szCs w:val="24"/>
        </w:rPr>
        <w:t xml:space="preserve">dà </w:t>
      </w:r>
      <w:r w:rsidRPr="00817533">
        <w:rPr>
          <w:sz w:val="24"/>
          <w:szCs w:val="24"/>
        </w:rPr>
        <w:t>attuazione a tale decisione e riguarda solo gli allegati IV e V e, in particolare, solo il lupo</w:t>
      </w:r>
      <w:r w:rsidR="00E97AB1" w:rsidRPr="00817533">
        <w:rPr>
          <w:sz w:val="24"/>
          <w:szCs w:val="24"/>
        </w:rPr>
        <w:t>, lasciando im</w:t>
      </w:r>
      <w:r w:rsidR="0044557A">
        <w:rPr>
          <w:sz w:val="24"/>
          <w:szCs w:val="24"/>
        </w:rPr>
        <w:t>mutato l’obbligo per gli Stati m</w:t>
      </w:r>
      <w:r w:rsidR="00E97AB1" w:rsidRPr="00817533">
        <w:rPr>
          <w:sz w:val="24"/>
          <w:szCs w:val="24"/>
        </w:rPr>
        <w:t>embri di garantire il mantenimento della specie in uno di stato di conservazione favorevole</w:t>
      </w:r>
      <w:r w:rsidR="008B23A6" w:rsidRPr="00817533">
        <w:rPr>
          <w:sz w:val="24"/>
          <w:szCs w:val="24"/>
        </w:rPr>
        <w:t>;</w:t>
      </w:r>
    </w:p>
    <w:p w14:paraId="4110EC46" w14:textId="6DA0CBD6" w:rsidR="00817533" w:rsidRDefault="00FC4201" w:rsidP="00817533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demanda </w:t>
      </w:r>
      <w:r w:rsidR="008B23A6" w:rsidRPr="00817533">
        <w:rPr>
          <w:sz w:val="24"/>
          <w:szCs w:val="24"/>
        </w:rPr>
        <w:t>agli Stati membri maggiore flessibilità nella gestione</w:t>
      </w:r>
      <w:r w:rsidR="00063AF1" w:rsidRPr="00817533">
        <w:rPr>
          <w:sz w:val="24"/>
          <w:szCs w:val="24"/>
        </w:rPr>
        <w:t xml:space="preserve"> della popolazione di lupi</w:t>
      </w:r>
      <w:r>
        <w:rPr>
          <w:sz w:val="24"/>
          <w:szCs w:val="24"/>
        </w:rPr>
        <w:t xml:space="preserve">, </w:t>
      </w:r>
      <w:r w:rsidR="00063AF1" w:rsidRPr="00817533">
        <w:rPr>
          <w:sz w:val="24"/>
          <w:szCs w:val="24"/>
        </w:rPr>
        <w:t xml:space="preserve">necessaria in quanto </w:t>
      </w:r>
      <w:r w:rsidR="00333614" w:rsidRPr="00817533">
        <w:rPr>
          <w:sz w:val="24"/>
          <w:szCs w:val="24"/>
        </w:rPr>
        <w:t>i danni causati</w:t>
      </w:r>
      <w:r w:rsidR="008B23A6" w:rsidRPr="00817533">
        <w:rPr>
          <w:sz w:val="24"/>
          <w:szCs w:val="24"/>
        </w:rPr>
        <w:t>, seppure in termini assoluti poco impattanti sul comparto zootecnico, tendono a concentrarsi localmente</w:t>
      </w:r>
      <w:r>
        <w:rPr>
          <w:sz w:val="24"/>
          <w:szCs w:val="24"/>
        </w:rPr>
        <w:t xml:space="preserve">. In questo modo si delineano </w:t>
      </w:r>
      <w:r w:rsidR="00063AF1" w:rsidRPr="00817533">
        <w:rPr>
          <w:i/>
          <w:sz w:val="24"/>
          <w:szCs w:val="24"/>
        </w:rPr>
        <w:t>hot spot</w:t>
      </w:r>
      <w:r w:rsidR="00063AF1" w:rsidRPr="00817533">
        <w:rPr>
          <w:sz w:val="24"/>
          <w:szCs w:val="24"/>
        </w:rPr>
        <w:t xml:space="preserve"> </w:t>
      </w:r>
      <w:r w:rsidR="00D42F35" w:rsidRPr="00817533">
        <w:rPr>
          <w:sz w:val="24"/>
          <w:szCs w:val="24"/>
        </w:rPr>
        <w:t xml:space="preserve">di conflitto, </w:t>
      </w:r>
      <w:r w:rsidR="00063AF1" w:rsidRPr="00817533">
        <w:rPr>
          <w:sz w:val="24"/>
          <w:szCs w:val="24"/>
        </w:rPr>
        <w:t xml:space="preserve">dove la convivenza tra uomo e lupo è particolarmente critica e </w:t>
      </w:r>
      <w:r w:rsidR="00921B12" w:rsidRPr="00817533">
        <w:rPr>
          <w:sz w:val="24"/>
          <w:szCs w:val="24"/>
        </w:rPr>
        <w:t>non può essere gestita unicamente con misure di</w:t>
      </w:r>
      <w:r w:rsidR="00063AF1" w:rsidRPr="00817533">
        <w:rPr>
          <w:sz w:val="24"/>
          <w:szCs w:val="24"/>
        </w:rPr>
        <w:t xml:space="preserve"> protezio</w:t>
      </w:r>
      <w:r w:rsidR="00D42F35" w:rsidRPr="00817533">
        <w:rPr>
          <w:sz w:val="24"/>
          <w:szCs w:val="24"/>
        </w:rPr>
        <w:t>ne e prevenzione</w:t>
      </w:r>
      <w:r w:rsidR="00333614" w:rsidRPr="00817533">
        <w:rPr>
          <w:sz w:val="24"/>
          <w:szCs w:val="24"/>
        </w:rPr>
        <w:t>. In tal senso, infatti, il declassamento</w:t>
      </w:r>
      <w:r w:rsidR="00E2114A" w:rsidRPr="00817533">
        <w:rPr>
          <w:sz w:val="24"/>
          <w:szCs w:val="24"/>
        </w:rPr>
        <w:t xml:space="preserve"> consentirebbe</w:t>
      </w:r>
      <w:r w:rsidR="00333614" w:rsidRPr="00817533">
        <w:rPr>
          <w:sz w:val="24"/>
          <w:szCs w:val="24"/>
        </w:rPr>
        <w:t xml:space="preserve"> una gestione </w:t>
      </w:r>
      <w:r w:rsidR="00C8578A" w:rsidRPr="00817533">
        <w:rPr>
          <w:sz w:val="24"/>
          <w:szCs w:val="24"/>
        </w:rPr>
        <w:t>selettiva</w:t>
      </w:r>
      <w:r w:rsidR="00333614" w:rsidRPr="00817533">
        <w:rPr>
          <w:sz w:val="24"/>
          <w:szCs w:val="24"/>
        </w:rPr>
        <w:t xml:space="preserve"> della specie</w:t>
      </w:r>
      <w:r w:rsidR="00E2114A" w:rsidRPr="00817533">
        <w:rPr>
          <w:sz w:val="24"/>
          <w:szCs w:val="24"/>
        </w:rPr>
        <w:t xml:space="preserve"> che potrebbe includere anche prelievi e interventi di contenimento controllato</w:t>
      </w:r>
      <w:r w:rsidR="004374CF">
        <w:rPr>
          <w:sz w:val="24"/>
          <w:szCs w:val="24"/>
        </w:rPr>
        <w:t>;</w:t>
      </w:r>
    </w:p>
    <w:p w14:paraId="7DD0BE95" w14:textId="5E0DACFA" w:rsidR="00333614" w:rsidRPr="00FC4201" w:rsidRDefault="00D42F35" w:rsidP="00FC4201">
      <w:pPr>
        <w:pStyle w:val="Paragrafoelenco"/>
        <w:numPr>
          <w:ilvl w:val="0"/>
          <w:numId w:val="48"/>
        </w:numPr>
        <w:spacing w:line="360" w:lineRule="auto"/>
        <w:rPr>
          <w:sz w:val="24"/>
          <w:szCs w:val="24"/>
        </w:rPr>
      </w:pPr>
      <w:r w:rsidRPr="00817533">
        <w:rPr>
          <w:sz w:val="24"/>
          <w:szCs w:val="24"/>
        </w:rPr>
        <w:t xml:space="preserve">è </w:t>
      </w:r>
      <w:r w:rsidR="00921B12" w:rsidRPr="00817533">
        <w:rPr>
          <w:sz w:val="24"/>
          <w:szCs w:val="24"/>
        </w:rPr>
        <w:t>necessaria a perseguire l</w:t>
      </w:r>
      <w:r w:rsidRPr="00817533">
        <w:rPr>
          <w:sz w:val="24"/>
          <w:szCs w:val="24"/>
        </w:rPr>
        <w:t>o scopo della direttiva Habitat</w:t>
      </w:r>
      <w:r w:rsidR="00514089" w:rsidRPr="00817533">
        <w:rPr>
          <w:sz w:val="24"/>
          <w:szCs w:val="24"/>
        </w:rPr>
        <w:t>,</w:t>
      </w:r>
      <w:r w:rsidRPr="00817533">
        <w:rPr>
          <w:sz w:val="24"/>
          <w:szCs w:val="24"/>
        </w:rPr>
        <w:t xml:space="preserve"> volta a promuovere il ma</w:t>
      </w:r>
      <w:r w:rsidR="00514089" w:rsidRPr="00817533">
        <w:rPr>
          <w:sz w:val="24"/>
          <w:szCs w:val="24"/>
        </w:rPr>
        <w:t xml:space="preserve">ntenimento della biodiversità </w:t>
      </w:r>
      <w:r w:rsidRPr="00817533">
        <w:rPr>
          <w:sz w:val="24"/>
          <w:szCs w:val="24"/>
        </w:rPr>
        <w:t>tenendo</w:t>
      </w:r>
      <w:r w:rsidR="00514089" w:rsidRPr="00817533">
        <w:rPr>
          <w:sz w:val="24"/>
          <w:szCs w:val="24"/>
        </w:rPr>
        <w:t xml:space="preserve"> </w:t>
      </w:r>
      <w:r w:rsidRPr="00817533">
        <w:rPr>
          <w:sz w:val="24"/>
          <w:szCs w:val="24"/>
        </w:rPr>
        <w:t>conto al tempo s</w:t>
      </w:r>
      <w:r w:rsidR="00514089" w:rsidRPr="00817533">
        <w:rPr>
          <w:sz w:val="24"/>
          <w:szCs w:val="24"/>
        </w:rPr>
        <w:t>tesso delle esigenze economiche</w:t>
      </w:r>
      <w:r w:rsidRPr="00817533">
        <w:rPr>
          <w:sz w:val="24"/>
          <w:szCs w:val="24"/>
        </w:rPr>
        <w:t>, sociali,</w:t>
      </w:r>
      <w:r w:rsidR="00514089" w:rsidRPr="00817533">
        <w:rPr>
          <w:sz w:val="24"/>
          <w:szCs w:val="24"/>
        </w:rPr>
        <w:t xml:space="preserve"> </w:t>
      </w:r>
      <w:r w:rsidRPr="00817533">
        <w:rPr>
          <w:sz w:val="24"/>
          <w:szCs w:val="24"/>
        </w:rPr>
        <w:t>culturali e regionali</w:t>
      </w:r>
      <w:r w:rsidR="00514089" w:rsidRPr="00817533">
        <w:rPr>
          <w:sz w:val="24"/>
          <w:szCs w:val="24"/>
        </w:rPr>
        <w:t xml:space="preserve">. Tale direttiva prevede inoltre tutele diverse a seconda dello stato di conservazione di una specie che, come sottolineato nel corso delle audizioni da alcune associazioni di settore, è un fattore in continua evoluzione che rende necessario un costante adeguamento dello </w:t>
      </w:r>
      <w:r w:rsidR="00514089" w:rsidRPr="00817533">
        <w:rPr>
          <w:i/>
          <w:sz w:val="24"/>
          <w:szCs w:val="24"/>
        </w:rPr>
        <w:t>status</w:t>
      </w:r>
      <w:r w:rsidR="00514089" w:rsidRPr="00817533">
        <w:rPr>
          <w:sz w:val="24"/>
          <w:szCs w:val="24"/>
        </w:rPr>
        <w:t xml:space="preserve"> di protezione. È pertanto opportuno </w:t>
      </w:r>
      <w:r w:rsidR="00D37089" w:rsidRPr="00817533">
        <w:rPr>
          <w:sz w:val="24"/>
          <w:szCs w:val="24"/>
        </w:rPr>
        <w:t>modificare</w:t>
      </w:r>
      <w:r w:rsidR="00514089" w:rsidRPr="00817533">
        <w:rPr>
          <w:sz w:val="24"/>
          <w:szCs w:val="24"/>
        </w:rPr>
        <w:t xml:space="preserve"> la tutela riconosciuta al lupo nel 1992, quando la specie era quasi estinta in molti Stati membri, con una tutela meno rigorosa </w:t>
      </w:r>
      <w:r w:rsidR="00271651" w:rsidRPr="00817533">
        <w:rPr>
          <w:sz w:val="24"/>
          <w:szCs w:val="24"/>
        </w:rPr>
        <w:t xml:space="preserve">che consente di adottare politiche per minimizzare i conflitti </w:t>
      </w:r>
      <w:r w:rsidR="00514089" w:rsidRPr="00817533">
        <w:rPr>
          <w:sz w:val="24"/>
          <w:szCs w:val="24"/>
        </w:rPr>
        <w:t>e</w:t>
      </w:r>
      <w:r w:rsidR="00271651" w:rsidRPr="00817533">
        <w:rPr>
          <w:sz w:val="24"/>
          <w:szCs w:val="24"/>
        </w:rPr>
        <w:t xml:space="preserve"> che è</w:t>
      </w:r>
      <w:r w:rsidR="00514089" w:rsidRPr="00817533">
        <w:rPr>
          <w:sz w:val="24"/>
          <w:szCs w:val="24"/>
        </w:rPr>
        <w:t xml:space="preserve"> più </w:t>
      </w:r>
      <w:r w:rsidR="00D37089" w:rsidRPr="00817533">
        <w:rPr>
          <w:sz w:val="24"/>
          <w:szCs w:val="24"/>
        </w:rPr>
        <w:t xml:space="preserve">al passo con la situazione </w:t>
      </w:r>
      <w:r w:rsidR="00333614" w:rsidRPr="00817533">
        <w:rPr>
          <w:sz w:val="24"/>
          <w:szCs w:val="24"/>
        </w:rPr>
        <w:t>odierna relativa a</w:t>
      </w:r>
      <w:r w:rsidR="00D37089" w:rsidRPr="00817533">
        <w:rPr>
          <w:sz w:val="24"/>
          <w:szCs w:val="24"/>
        </w:rPr>
        <w:t>ll’aumento esponenziale degli esemplari nell’UE</w:t>
      </w:r>
      <w:r w:rsidR="005E0A0E" w:rsidRPr="00817533">
        <w:rPr>
          <w:sz w:val="24"/>
          <w:szCs w:val="24"/>
        </w:rPr>
        <w:t>;</w:t>
      </w:r>
    </w:p>
    <w:p w14:paraId="14F5AEA1" w14:textId="77777777" w:rsidR="00A5126F" w:rsidRDefault="00A5126F" w:rsidP="00D7684E">
      <w:pPr>
        <w:spacing w:line="360" w:lineRule="auto"/>
        <w:rPr>
          <w:rFonts w:eastAsia="Arial"/>
          <w:sz w:val="24"/>
          <w:szCs w:val="24"/>
        </w:rPr>
      </w:pPr>
    </w:p>
    <w:p w14:paraId="002360AD" w14:textId="7F746FE3" w:rsidR="00333614" w:rsidRDefault="00333614" w:rsidP="00D7684E">
      <w:pPr>
        <w:spacing w:line="360" w:lineRule="auto"/>
        <w:rPr>
          <w:rFonts w:eastAsia="Arial"/>
          <w:sz w:val="24"/>
          <w:szCs w:val="24"/>
        </w:rPr>
      </w:pPr>
      <w:r w:rsidRPr="005B0D4F">
        <w:rPr>
          <w:rFonts w:eastAsia="Arial"/>
          <w:sz w:val="24"/>
          <w:szCs w:val="24"/>
        </w:rPr>
        <w:t xml:space="preserve">tenuto conto che la Commissione non ha effettuato una valutazione d’impatto per la proposta in esame, </w:t>
      </w:r>
      <w:r w:rsidR="00FC4201">
        <w:rPr>
          <w:rFonts w:eastAsia="Arial"/>
          <w:sz w:val="24"/>
          <w:szCs w:val="24"/>
        </w:rPr>
        <w:t xml:space="preserve">tenuto conto che </w:t>
      </w:r>
      <w:r w:rsidR="004C7BF2">
        <w:rPr>
          <w:rFonts w:eastAsia="Arial"/>
          <w:sz w:val="24"/>
          <w:szCs w:val="24"/>
        </w:rPr>
        <w:t>la decisione di modificare la C</w:t>
      </w:r>
      <w:r w:rsidRPr="005B0D4F">
        <w:rPr>
          <w:rFonts w:eastAsia="Arial"/>
          <w:sz w:val="24"/>
          <w:szCs w:val="24"/>
        </w:rPr>
        <w:t xml:space="preserve">onvenzione di Berna si è basata sui risultati dell’analisi dello </w:t>
      </w:r>
      <w:r w:rsidRPr="00E03867">
        <w:rPr>
          <w:rFonts w:eastAsia="Arial"/>
          <w:i/>
          <w:sz w:val="24"/>
          <w:szCs w:val="24"/>
        </w:rPr>
        <w:t>status</w:t>
      </w:r>
      <w:r w:rsidRPr="005B0D4F">
        <w:rPr>
          <w:rFonts w:eastAsia="Arial"/>
          <w:sz w:val="24"/>
          <w:szCs w:val="24"/>
        </w:rPr>
        <w:t xml:space="preserve"> del lupo nell’UE del 2023;</w:t>
      </w:r>
    </w:p>
    <w:p w14:paraId="56F781B9" w14:textId="77777777" w:rsidR="00114BAB" w:rsidRPr="00D7684E" w:rsidRDefault="00114BAB" w:rsidP="00FC4201">
      <w:pPr>
        <w:spacing w:line="360" w:lineRule="auto"/>
        <w:ind w:firstLine="0"/>
        <w:rPr>
          <w:rFonts w:eastAsia="Arial"/>
          <w:sz w:val="24"/>
          <w:szCs w:val="24"/>
        </w:rPr>
      </w:pPr>
    </w:p>
    <w:p w14:paraId="03363624" w14:textId="00CF2258" w:rsidR="00681C0B" w:rsidRPr="00CB0F20" w:rsidRDefault="00681C0B" w:rsidP="002307C2">
      <w:pPr>
        <w:spacing w:line="360" w:lineRule="auto"/>
        <w:rPr>
          <w:rFonts w:eastAsia="Arial" w:cs="Arial"/>
          <w:sz w:val="24"/>
          <w:szCs w:val="24"/>
        </w:rPr>
      </w:pPr>
      <w:r w:rsidRPr="00CB0F20">
        <w:rPr>
          <w:rFonts w:eastAsia="Arial" w:cs="Arial"/>
          <w:sz w:val="24"/>
          <w:szCs w:val="24"/>
        </w:rPr>
        <w:t>rilevata l’esigenza che il presente documento sia trasmesso al Parlamento europeo, al Consiglio e alla Commissione europea n</w:t>
      </w:r>
      <w:r w:rsidR="005B34CE">
        <w:rPr>
          <w:rFonts w:eastAsia="Arial" w:cs="Arial"/>
          <w:sz w:val="24"/>
          <w:szCs w:val="24"/>
        </w:rPr>
        <w:t>ell’ambito del dialogo politico;</w:t>
      </w:r>
    </w:p>
    <w:p w14:paraId="5B0538F1" w14:textId="77777777" w:rsidR="000C3A7B" w:rsidRDefault="000C3A7B" w:rsidP="00681C0B">
      <w:pPr>
        <w:spacing w:line="360" w:lineRule="auto"/>
        <w:jc w:val="center"/>
        <w:rPr>
          <w:rFonts w:eastAsia="Arial"/>
          <w:sz w:val="24"/>
          <w:szCs w:val="24"/>
        </w:rPr>
      </w:pPr>
    </w:p>
    <w:p w14:paraId="1412F93E" w14:textId="57404B58" w:rsidR="00C53F9E" w:rsidRDefault="00681C0B" w:rsidP="00853538">
      <w:pPr>
        <w:spacing w:line="360" w:lineRule="auto"/>
        <w:jc w:val="center"/>
        <w:rPr>
          <w:rFonts w:eastAsia="Arial" w:cs="Arial"/>
          <w:sz w:val="24"/>
          <w:szCs w:val="24"/>
        </w:rPr>
      </w:pPr>
      <w:r w:rsidRPr="00CB0F20">
        <w:rPr>
          <w:rFonts w:eastAsia="Arial"/>
          <w:sz w:val="24"/>
          <w:szCs w:val="24"/>
        </w:rPr>
        <w:t xml:space="preserve">VALUTA </w:t>
      </w:r>
      <w:r w:rsidRPr="00CB0F20">
        <w:rPr>
          <w:rFonts w:eastAsia="Arial" w:cs="Arial"/>
          <w:sz w:val="24"/>
          <w:szCs w:val="24"/>
        </w:rPr>
        <w:t>CONFORME</w:t>
      </w:r>
    </w:p>
    <w:p w14:paraId="755A1B44" w14:textId="5FBDEBFC" w:rsidR="00681C0B" w:rsidRPr="00CB0F20" w:rsidRDefault="00681C0B" w:rsidP="00681C0B">
      <w:pPr>
        <w:spacing w:line="360" w:lineRule="auto"/>
        <w:ind w:firstLine="0"/>
        <w:rPr>
          <w:rFonts w:eastAsia="Arial" w:cs="Arial"/>
          <w:sz w:val="24"/>
          <w:szCs w:val="24"/>
        </w:rPr>
      </w:pPr>
      <w:r w:rsidRPr="00CB0F20">
        <w:rPr>
          <w:rFonts w:eastAsia="Arial" w:cs="Arial"/>
          <w:sz w:val="24"/>
          <w:szCs w:val="24"/>
        </w:rPr>
        <w:t xml:space="preserve">la proposta al principio di sussidiarietà di cui all’articolo 5 del Trattato sull’Unione europea. </w:t>
      </w:r>
    </w:p>
    <w:p w14:paraId="1CD4FCC3" w14:textId="695AB613" w:rsidR="002A7DA4" w:rsidRDefault="002A7DA4" w:rsidP="00681C0B">
      <w:pPr>
        <w:rPr>
          <w:rFonts w:eastAsia="Arial"/>
        </w:rPr>
      </w:pPr>
    </w:p>
    <w:p w14:paraId="28964BE4" w14:textId="0F229B36" w:rsidR="00CE1A87" w:rsidRPr="00681C0B" w:rsidRDefault="00AC2A90" w:rsidP="00681C0B">
      <w:pPr>
        <w:rPr>
          <w:rFonts w:eastAsia="Arial"/>
        </w:rPr>
      </w:pPr>
      <w:r>
        <w:rPr>
          <w:rFonts w:eastAsia="Arial"/>
        </w:rPr>
        <w:t xml:space="preserve"> </w:t>
      </w:r>
    </w:p>
    <w:sectPr w:rsidR="00CE1A87" w:rsidRPr="00681C0B" w:rsidSect="00E71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985" w:bottom="1985" w:left="1985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9FFC" w14:textId="77777777" w:rsidR="00211FC1" w:rsidRDefault="00211FC1">
      <w:r>
        <w:separator/>
      </w:r>
    </w:p>
  </w:endnote>
  <w:endnote w:type="continuationSeparator" w:id="0">
    <w:p w14:paraId="4B3C7E53" w14:textId="77777777" w:rsidR="00211FC1" w:rsidRDefault="0021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F8E23" w14:textId="77777777" w:rsidR="001F25A4" w:rsidRDefault="001F25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077478"/>
      <w:docPartObj>
        <w:docPartGallery w:val="Page Numbers (Bottom of Page)"/>
        <w:docPartUnique/>
      </w:docPartObj>
    </w:sdtPr>
    <w:sdtEndPr/>
    <w:sdtContent>
      <w:p w14:paraId="7A465874" w14:textId="583FC8D9" w:rsidR="001F25A4" w:rsidRDefault="001F25A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FB">
          <w:rPr>
            <w:noProof/>
          </w:rPr>
          <w:t>5</w:t>
        </w:r>
        <w:r>
          <w:fldChar w:fldCharType="end"/>
        </w:r>
      </w:p>
    </w:sdtContent>
  </w:sdt>
  <w:p w14:paraId="77BC523F" w14:textId="77777777" w:rsidR="001F25A4" w:rsidRDefault="001F25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B56CA" w14:textId="77777777" w:rsidR="001F25A4" w:rsidRDefault="001F25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9D23A" w14:textId="77777777" w:rsidR="00211FC1" w:rsidRDefault="00211FC1">
      <w:r>
        <w:separator/>
      </w:r>
    </w:p>
  </w:footnote>
  <w:footnote w:type="continuationSeparator" w:id="0">
    <w:p w14:paraId="5E824813" w14:textId="77777777" w:rsidR="00211FC1" w:rsidRDefault="0021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DAB7E" w14:textId="77777777" w:rsidR="001F25A4" w:rsidRDefault="001F25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66"/>
      <w:gridCol w:w="3970"/>
    </w:tblGrid>
    <w:tr w:rsidR="00AF167A" w:rsidRPr="00793609" w14:paraId="72FF7C7A" w14:textId="77777777" w:rsidTr="00F16DD9">
      <w:tc>
        <w:tcPr>
          <w:tcW w:w="4038" w:type="dxa"/>
        </w:tcPr>
        <w:p w14:paraId="3BE9F45A" w14:textId="77777777" w:rsidR="00AF167A" w:rsidRPr="00793609" w:rsidRDefault="00AF167A" w:rsidP="00F315D3">
          <w:pPr>
            <w:pStyle w:val="Intestazione"/>
            <w:ind w:firstLine="0"/>
            <w:jc w:val="left"/>
            <w:rPr>
              <w:b/>
              <w:i/>
              <w:sz w:val="18"/>
              <w:szCs w:val="18"/>
            </w:rPr>
          </w:pPr>
        </w:p>
        <w:p w14:paraId="194FEA5A" w14:textId="77777777" w:rsidR="00AF167A" w:rsidRPr="00793609" w:rsidRDefault="00AF167A" w:rsidP="00F315D3">
          <w:pPr>
            <w:pStyle w:val="Intestazione"/>
            <w:ind w:firstLine="0"/>
            <w:jc w:val="left"/>
            <w:rPr>
              <w:b/>
              <w:i/>
              <w:sz w:val="18"/>
              <w:szCs w:val="18"/>
            </w:rPr>
          </w:pPr>
          <w:r w:rsidRPr="00793609">
            <w:rPr>
              <w:b/>
              <w:i/>
              <w:sz w:val="18"/>
              <w:szCs w:val="18"/>
            </w:rPr>
            <w:t>Camera dei deputati</w:t>
          </w:r>
        </w:p>
      </w:tc>
      <w:tc>
        <w:tcPr>
          <w:tcW w:w="4038" w:type="dxa"/>
        </w:tcPr>
        <w:p w14:paraId="29DE4761" w14:textId="77777777" w:rsidR="00AF167A" w:rsidRPr="00793609" w:rsidRDefault="00AF167A" w:rsidP="00F315D3">
          <w:pPr>
            <w:pStyle w:val="Intestazione"/>
            <w:ind w:firstLine="0"/>
            <w:jc w:val="right"/>
            <w:rPr>
              <w:b/>
              <w:i/>
              <w:sz w:val="18"/>
              <w:szCs w:val="18"/>
            </w:rPr>
          </w:pPr>
          <w:r w:rsidRPr="00793609">
            <w:rPr>
              <w:b/>
              <w:i/>
              <w:sz w:val="18"/>
              <w:szCs w:val="18"/>
            </w:rPr>
            <w:t>Segreteria generale</w:t>
          </w:r>
        </w:p>
        <w:p w14:paraId="4F650F0E" w14:textId="77777777" w:rsidR="00AF167A" w:rsidRPr="00793609" w:rsidRDefault="00AF167A" w:rsidP="00F315D3">
          <w:pPr>
            <w:pStyle w:val="Intestazione"/>
            <w:ind w:firstLine="0"/>
            <w:jc w:val="right"/>
            <w:rPr>
              <w:b/>
              <w:i/>
              <w:sz w:val="18"/>
              <w:szCs w:val="18"/>
            </w:rPr>
          </w:pPr>
          <w:r w:rsidRPr="00793609">
            <w:rPr>
              <w:b/>
              <w:i/>
              <w:sz w:val="18"/>
              <w:szCs w:val="18"/>
            </w:rPr>
            <w:t>Ufficio rapporti con l’Unione europea</w:t>
          </w:r>
        </w:p>
      </w:tc>
    </w:tr>
  </w:tbl>
  <w:p w14:paraId="4E573FD8" w14:textId="77777777" w:rsidR="00AF167A" w:rsidRDefault="00AF16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A7BA" w14:textId="77777777" w:rsidR="001F25A4" w:rsidRDefault="001F2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2C1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C418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E02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343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AE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4ED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382D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14B6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4C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C9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4D00"/>
    <w:multiLevelType w:val="hybridMultilevel"/>
    <w:tmpl w:val="6B0AF8A0"/>
    <w:lvl w:ilvl="0" w:tplc="DE0E7E8E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6F75679"/>
    <w:multiLevelType w:val="hybridMultilevel"/>
    <w:tmpl w:val="24A4EB9C"/>
    <w:lvl w:ilvl="0" w:tplc="A07EA7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8D349CB"/>
    <w:multiLevelType w:val="hybridMultilevel"/>
    <w:tmpl w:val="61E2851E"/>
    <w:lvl w:ilvl="0" w:tplc="0410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13" w15:restartNumberingAfterBreak="0">
    <w:nsid w:val="09221902"/>
    <w:multiLevelType w:val="hybridMultilevel"/>
    <w:tmpl w:val="1ED2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91140"/>
    <w:multiLevelType w:val="hybridMultilevel"/>
    <w:tmpl w:val="146AA520"/>
    <w:lvl w:ilvl="0" w:tplc="8D569D04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22E2F53"/>
    <w:multiLevelType w:val="hybridMultilevel"/>
    <w:tmpl w:val="8F425FC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F511CB7"/>
    <w:multiLevelType w:val="hybridMultilevel"/>
    <w:tmpl w:val="2CAC1358"/>
    <w:lvl w:ilvl="0" w:tplc="5900BFB0">
      <w:start w:val="1"/>
      <w:numFmt w:val="bullet"/>
      <w:pStyle w:val="Puntielenco3livello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20645D23"/>
    <w:multiLevelType w:val="hybridMultilevel"/>
    <w:tmpl w:val="0FC8B8E4"/>
    <w:lvl w:ilvl="0" w:tplc="4D80A2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A4452"/>
    <w:multiLevelType w:val="hybridMultilevel"/>
    <w:tmpl w:val="FAD423E8"/>
    <w:lvl w:ilvl="0" w:tplc="018C97B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E2490A"/>
    <w:multiLevelType w:val="hybridMultilevel"/>
    <w:tmpl w:val="AD46C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41198"/>
    <w:multiLevelType w:val="hybridMultilevel"/>
    <w:tmpl w:val="6E66C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2175E"/>
    <w:multiLevelType w:val="hybridMultilevel"/>
    <w:tmpl w:val="879A9528"/>
    <w:lvl w:ilvl="0" w:tplc="8B1AD56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0F5798"/>
    <w:multiLevelType w:val="multilevel"/>
    <w:tmpl w:val="56FE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8F76C8"/>
    <w:multiLevelType w:val="hybridMultilevel"/>
    <w:tmpl w:val="B4001B44"/>
    <w:lvl w:ilvl="0" w:tplc="61D0078E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F4333F"/>
    <w:multiLevelType w:val="hybridMultilevel"/>
    <w:tmpl w:val="698462DE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EF50A5"/>
    <w:multiLevelType w:val="hybridMultilevel"/>
    <w:tmpl w:val="33F0E75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1CB5484"/>
    <w:multiLevelType w:val="hybridMultilevel"/>
    <w:tmpl w:val="2C4EFF6E"/>
    <w:lvl w:ilvl="0" w:tplc="8D569D04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110F61"/>
    <w:multiLevelType w:val="hybridMultilevel"/>
    <w:tmpl w:val="85D4A4C2"/>
    <w:lvl w:ilvl="0" w:tplc="2814CD1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D725E75"/>
    <w:multiLevelType w:val="hybridMultilevel"/>
    <w:tmpl w:val="FD3CA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67A93"/>
    <w:multiLevelType w:val="hybridMultilevel"/>
    <w:tmpl w:val="4FC6E76E"/>
    <w:lvl w:ilvl="0" w:tplc="EA58D584">
      <w:start w:val="1"/>
      <w:numFmt w:val="bullet"/>
      <w:pStyle w:val="Puntielenco1livel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20DD2"/>
    <w:multiLevelType w:val="hybridMultilevel"/>
    <w:tmpl w:val="E4B0AF8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EB6387"/>
    <w:multiLevelType w:val="hybridMultilevel"/>
    <w:tmpl w:val="1BAE3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D0441"/>
    <w:multiLevelType w:val="hybridMultilevel"/>
    <w:tmpl w:val="CA8AAF2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127B83"/>
    <w:multiLevelType w:val="multilevel"/>
    <w:tmpl w:val="575E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E46206"/>
    <w:multiLevelType w:val="multilevel"/>
    <w:tmpl w:val="A7EC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695" w:hanging="61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D00D05"/>
    <w:multiLevelType w:val="hybridMultilevel"/>
    <w:tmpl w:val="78585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921F15"/>
    <w:multiLevelType w:val="multilevel"/>
    <w:tmpl w:val="7972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40FC5"/>
    <w:multiLevelType w:val="hybridMultilevel"/>
    <w:tmpl w:val="4A646CBC"/>
    <w:lvl w:ilvl="0" w:tplc="452402BC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B127175"/>
    <w:multiLevelType w:val="hybridMultilevel"/>
    <w:tmpl w:val="3EB4FABE"/>
    <w:lvl w:ilvl="0" w:tplc="6D62AC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E435D9F"/>
    <w:multiLevelType w:val="hybridMultilevel"/>
    <w:tmpl w:val="107A652A"/>
    <w:lvl w:ilvl="0" w:tplc="2AA66DBA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208676B"/>
    <w:multiLevelType w:val="hybridMultilevel"/>
    <w:tmpl w:val="913424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2E2FF7"/>
    <w:multiLevelType w:val="hybridMultilevel"/>
    <w:tmpl w:val="65A4D97C"/>
    <w:lvl w:ilvl="0" w:tplc="10E443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C7FEC"/>
    <w:multiLevelType w:val="hybridMultilevel"/>
    <w:tmpl w:val="276E30F8"/>
    <w:lvl w:ilvl="0" w:tplc="6D62A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64503FE"/>
    <w:multiLevelType w:val="hybridMultilevel"/>
    <w:tmpl w:val="8D50A1E4"/>
    <w:lvl w:ilvl="0" w:tplc="8D569D04"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21B2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E03175D"/>
    <w:multiLevelType w:val="hybridMultilevel"/>
    <w:tmpl w:val="03FAD2B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EFC5A07"/>
    <w:multiLevelType w:val="hybridMultilevel"/>
    <w:tmpl w:val="192A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792770"/>
    <w:multiLevelType w:val="hybridMultilevel"/>
    <w:tmpl w:val="6D52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44"/>
  </w:num>
  <w:num w:numId="4">
    <w:abstractNumId w:val="9"/>
  </w:num>
  <w:num w:numId="5">
    <w:abstractNumId w:val="36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0"/>
  </w:num>
  <w:num w:numId="17">
    <w:abstractNumId w:val="33"/>
  </w:num>
  <w:num w:numId="18">
    <w:abstractNumId w:val="34"/>
  </w:num>
  <w:num w:numId="19">
    <w:abstractNumId w:val="22"/>
  </w:num>
  <w:num w:numId="20">
    <w:abstractNumId w:val="41"/>
  </w:num>
  <w:num w:numId="21">
    <w:abstractNumId w:val="46"/>
  </w:num>
  <w:num w:numId="22">
    <w:abstractNumId w:val="26"/>
  </w:num>
  <w:num w:numId="23">
    <w:abstractNumId w:val="43"/>
  </w:num>
  <w:num w:numId="24">
    <w:abstractNumId w:val="14"/>
  </w:num>
  <w:num w:numId="25">
    <w:abstractNumId w:val="17"/>
  </w:num>
  <w:num w:numId="26">
    <w:abstractNumId w:val="19"/>
  </w:num>
  <w:num w:numId="27">
    <w:abstractNumId w:val="31"/>
  </w:num>
  <w:num w:numId="28">
    <w:abstractNumId w:val="12"/>
  </w:num>
  <w:num w:numId="29">
    <w:abstractNumId w:val="28"/>
  </w:num>
  <w:num w:numId="30">
    <w:abstractNumId w:val="13"/>
  </w:num>
  <w:num w:numId="31">
    <w:abstractNumId w:val="20"/>
  </w:num>
  <w:num w:numId="32">
    <w:abstractNumId w:val="47"/>
  </w:num>
  <w:num w:numId="33">
    <w:abstractNumId w:val="35"/>
  </w:num>
  <w:num w:numId="34">
    <w:abstractNumId w:val="42"/>
  </w:num>
  <w:num w:numId="35">
    <w:abstractNumId w:val="38"/>
  </w:num>
  <w:num w:numId="36">
    <w:abstractNumId w:val="45"/>
  </w:num>
  <w:num w:numId="37">
    <w:abstractNumId w:val="40"/>
  </w:num>
  <w:num w:numId="38">
    <w:abstractNumId w:val="32"/>
  </w:num>
  <w:num w:numId="39">
    <w:abstractNumId w:val="23"/>
  </w:num>
  <w:num w:numId="40">
    <w:abstractNumId w:val="25"/>
  </w:num>
  <w:num w:numId="41">
    <w:abstractNumId w:val="15"/>
  </w:num>
  <w:num w:numId="42">
    <w:abstractNumId w:val="27"/>
  </w:num>
  <w:num w:numId="43">
    <w:abstractNumId w:val="24"/>
  </w:num>
  <w:num w:numId="44">
    <w:abstractNumId w:val="39"/>
  </w:num>
  <w:num w:numId="45">
    <w:abstractNumId w:val="37"/>
  </w:num>
  <w:num w:numId="46">
    <w:abstractNumId w:val="10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0B"/>
    <w:rsid w:val="00004946"/>
    <w:rsid w:val="00007BBE"/>
    <w:rsid w:val="000134E5"/>
    <w:rsid w:val="00013837"/>
    <w:rsid w:val="00014E9A"/>
    <w:rsid w:val="0001517C"/>
    <w:rsid w:val="00016B27"/>
    <w:rsid w:val="0001715D"/>
    <w:rsid w:val="00017647"/>
    <w:rsid w:val="000213E7"/>
    <w:rsid w:val="0002167F"/>
    <w:rsid w:val="00022DDA"/>
    <w:rsid w:val="00023AA9"/>
    <w:rsid w:val="00023B40"/>
    <w:rsid w:val="00024E34"/>
    <w:rsid w:val="00030CA7"/>
    <w:rsid w:val="0003231B"/>
    <w:rsid w:val="00035760"/>
    <w:rsid w:val="000400F8"/>
    <w:rsid w:val="00040B4F"/>
    <w:rsid w:val="000452BD"/>
    <w:rsid w:val="0004576D"/>
    <w:rsid w:val="00051C5B"/>
    <w:rsid w:val="00052A0A"/>
    <w:rsid w:val="000568D9"/>
    <w:rsid w:val="00063AF1"/>
    <w:rsid w:val="000678FB"/>
    <w:rsid w:val="00072FBA"/>
    <w:rsid w:val="000839D8"/>
    <w:rsid w:val="000862C4"/>
    <w:rsid w:val="00087332"/>
    <w:rsid w:val="00093177"/>
    <w:rsid w:val="00093ADF"/>
    <w:rsid w:val="00093E81"/>
    <w:rsid w:val="000956D4"/>
    <w:rsid w:val="00096EAF"/>
    <w:rsid w:val="000A0A2D"/>
    <w:rsid w:val="000A40DA"/>
    <w:rsid w:val="000A6919"/>
    <w:rsid w:val="000B2D44"/>
    <w:rsid w:val="000B493F"/>
    <w:rsid w:val="000C1759"/>
    <w:rsid w:val="000C1F84"/>
    <w:rsid w:val="000C3A7B"/>
    <w:rsid w:val="000C75F4"/>
    <w:rsid w:val="000D424A"/>
    <w:rsid w:val="000D6AC6"/>
    <w:rsid w:val="000D6DDC"/>
    <w:rsid w:val="000D7B2F"/>
    <w:rsid w:val="000E0711"/>
    <w:rsid w:val="000E781E"/>
    <w:rsid w:val="000F048E"/>
    <w:rsid w:val="000F2332"/>
    <w:rsid w:val="000F4D5B"/>
    <w:rsid w:val="000F7D3C"/>
    <w:rsid w:val="00101014"/>
    <w:rsid w:val="001013D0"/>
    <w:rsid w:val="00101474"/>
    <w:rsid w:val="001014A4"/>
    <w:rsid w:val="0010256F"/>
    <w:rsid w:val="001034D9"/>
    <w:rsid w:val="00104808"/>
    <w:rsid w:val="001101BC"/>
    <w:rsid w:val="00114BAB"/>
    <w:rsid w:val="00116219"/>
    <w:rsid w:val="00120EB4"/>
    <w:rsid w:val="0012229D"/>
    <w:rsid w:val="001239EA"/>
    <w:rsid w:val="00126A2D"/>
    <w:rsid w:val="00130278"/>
    <w:rsid w:val="00137917"/>
    <w:rsid w:val="00140405"/>
    <w:rsid w:val="00144627"/>
    <w:rsid w:val="00144EAA"/>
    <w:rsid w:val="001453E9"/>
    <w:rsid w:val="001471CA"/>
    <w:rsid w:val="00150023"/>
    <w:rsid w:val="00152CC0"/>
    <w:rsid w:val="0015524D"/>
    <w:rsid w:val="00156210"/>
    <w:rsid w:val="001577E4"/>
    <w:rsid w:val="00161F61"/>
    <w:rsid w:val="00162BE3"/>
    <w:rsid w:val="0016668E"/>
    <w:rsid w:val="00177388"/>
    <w:rsid w:val="00177EA7"/>
    <w:rsid w:val="00181AAB"/>
    <w:rsid w:val="001826CA"/>
    <w:rsid w:val="001832B6"/>
    <w:rsid w:val="00196ACE"/>
    <w:rsid w:val="00197274"/>
    <w:rsid w:val="001975AC"/>
    <w:rsid w:val="001A17FA"/>
    <w:rsid w:val="001A4E68"/>
    <w:rsid w:val="001A53DC"/>
    <w:rsid w:val="001A5619"/>
    <w:rsid w:val="001A7DC5"/>
    <w:rsid w:val="001B1316"/>
    <w:rsid w:val="001B139E"/>
    <w:rsid w:val="001B20CD"/>
    <w:rsid w:val="001B5E25"/>
    <w:rsid w:val="001B6F43"/>
    <w:rsid w:val="001B7B18"/>
    <w:rsid w:val="001C49FD"/>
    <w:rsid w:val="001D74A8"/>
    <w:rsid w:val="001D75FD"/>
    <w:rsid w:val="001D7FED"/>
    <w:rsid w:val="001E2280"/>
    <w:rsid w:val="001F0FEB"/>
    <w:rsid w:val="001F25A4"/>
    <w:rsid w:val="00200273"/>
    <w:rsid w:val="00210730"/>
    <w:rsid w:val="00210A72"/>
    <w:rsid w:val="00211FC1"/>
    <w:rsid w:val="00212623"/>
    <w:rsid w:val="00212FC7"/>
    <w:rsid w:val="00214590"/>
    <w:rsid w:val="00215C65"/>
    <w:rsid w:val="002162D1"/>
    <w:rsid w:val="00220D5B"/>
    <w:rsid w:val="00222A5A"/>
    <w:rsid w:val="002307C2"/>
    <w:rsid w:val="00234162"/>
    <w:rsid w:val="0023781C"/>
    <w:rsid w:val="00247702"/>
    <w:rsid w:val="002510BB"/>
    <w:rsid w:val="00251290"/>
    <w:rsid w:val="00255F79"/>
    <w:rsid w:val="00257E79"/>
    <w:rsid w:val="00262F83"/>
    <w:rsid w:val="002631CB"/>
    <w:rsid w:val="002638FD"/>
    <w:rsid w:val="00264B30"/>
    <w:rsid w:val="002671F3"/>
    <w:rsid w:val="00271651"/>
    <w:rsid w:val="00274659"/>
    <w:rsid w:val="00276190"/>
    <w:rsid w:val="00276EE4"/>
    <w:rsid w:val="00283767"/>
    <w:rsid w:val="002857B0"/>
    <w:rsid w:val="0028697B"/>
    <w:rsid w:val="00287587"/>
    <w:rsid w:val="00287F6F"/>
    <w:rsid w:val="00292BD8"/>
    <w:rsid w:val="00296C65"/>
    <w:rsid w:val="002A0DEA"/>
    <w:rsid w:val="002A53B3"/>
    <w:rsid w:val="002A732E"/>
    <w:rsid w:val="002A7DA4"/>
    <w:rsid w:val="002A7E60"/>
    <w:rsid w:val="002B4130"/>
    <w:rsid w:val="002B41D7"/>
    <w:rsid w:val="002B6A37"/>
    <w:rsid w:val="002C3DAF"/>
    <w:rsid w:val="002C4873"/>
    <w:rsid w:val="002D22A3"/>
    <w:rsid w:val="002D37C4"/>
    <w:rsid w:val="002D558D"/>
    <w:rsid w:val="002D5E7D"/>
    <w:rsid w:val="002E24D9"/>
    <w:rsid w:val="002E3809"/>
    <w:rsid w:val="002F0E3A"/>
    <w:rsid w:val="002F1154"/>
    <w:rsid w:val="002F3731"/>
    <w:rsid w:val="002F4EDF"/>
    <w:rsid w:val="002F72D5"/>
    <w:rsid w:val="002F7676"/>
    <w:rsid w:val="0030284E"/>
    <w:rsid w:val="00302E4E"/>
    <w:rsid w:val="00303DB6"/>
    <w:rsid w:val="00305067"/>
    <w:rsid w:val="00305D0F"/>
    <w:rsid w:val="00310A0B"/>
    <w:rsid w:val="003137DA"/>
    <w:rsid w:val="00316431"/>
    <w:rsid w:val="00332464"/>
    <w:rsid w:val="00333614"/>
    <w:rsid w:val="0033363F"/>
    <w:rsid w:val="00334F64"/>
    <w:rsid w:val="003358AD"/>
    <w:rsid w:val="00336AAD"/>
    <w:rsid w:val="003400A5"/>
    <w:rsid w:val="003435F8"/>
    <w:rsid w:val="00343C55"/>
    <w:rsid w:val="003466C4"/>
    <w:rsid w:val="00346F86"/>
    <w:rsid w:val="00347FEE"/>
    <w:rsid w:val="0035027B"/>
    <w:rsid w:val="003526BE"/>
    <w:rsid w:val="00352712"/>
    <w:rsid w:val="00353F91"/>
    <w:rsid w:val="003546D7"/>
    <w:rsid w:val="003559D1"/>
    <w:rsid w:val="00356D6D"/>
    <w:rsid w:val="003611B5"/>
    <w:rsid w:val="00365FBE"/>
    <w:rsid w:val="00367A68"/>
    <w:rsid w:val="00382068"/>
    <w:rsid w:val="00382DC9"/>
    <w:rsid w:val="003831C8"/>
    <w:rsid w:val="00383DB3"/>
    <w:rsid w:val="003863DE"/>
    <w:rsid w:val="00391368"/>
    <w:rsid w:val="003938E8"/>
    <w:rsid w:val="00394004"/>
    <w:rsid w:val="00394B68"/>
    <w:rsid w:val="00395151"/>
    <w:rsid w:val="00396894"/>
    <w:rsid w:val="003A034F"/>
    <w:rsid w:val="003B0E26"/>
    <w:rsid w:val="003B45B0"/>
    <w:rsid w:val="003C3C35"/>
    <w:rsid w:val="003C43A3"/>
    <w:rsid w:val="003C6317"/>
    <w:rsid w:val="003C7A32"/>
    <w:rsid w:val="003D0AAE"/>
    <w:rsid w:val="003D26CC"/>
    <w:rsid w:val="003D308F"/>
    <w:rsid w:val="003D60BB"/>
    <w:rsid w:val="003D6714"/>
    <w:rsid w:val="003E2E13"/>
    <w:rsid w:val="003E375C"/>
    <w:rsid w:val="003E43BD"/>
    <w:rsid w:val="003E46A0"/>
    <w:rsid w:val="003E7A60"/>
    <w:rsid w:val="003F14FB"/>
    <w:rsid w:val="003F15A7"/>
    <w:rsid w:val="003F42F9"/>
    <w:rsid w:val="003F7B9F"/>
    <w:rsid w:val="00400465"/>
    <w:rsid w:val="00403741"/>
    <w:rsid w:val="00404158"/>
    <w:rsid w:val="00405C07"/>
    <w:rsid w:val="004064D5"/>
    <w:rsid w:val="00410CBC"/>
    <w:rsid w:val="004179BF"/>
    <w:rsid w:val="004227F4"/>
    <w:rsid w:val="0042368E"/>
    <w:rsid w:val="00424041"/>
    <w:rsid w:val="00424C5A"/>
    <w:rsid w:val="004257F2"/>
    <w:rsid w:val="00427679"/>
    <w:rsid w:val="00432B6E"/>
    <w:rsid w:val="00433417"/>
    <w:rsid w:val="004374CF"/>
    <w:rsid w:val="0044032C"/>
    <w:rsid w:val="004406F9"/>
    <w:rsid w:val="00443B1F"/>
    <w:rsid w:val="00444238"/>
    <w:rsid w:val="0044557A"/>
    <w:rsid w:val="00446483"/>
    <w:rsid w:val="00447720"/>
    <w:rsid w:val="00447E2F"/>
    <w:rsid w:val="00447EFE"/>
    <w:rsid w:val="00454A55"/>
    <w:rsid w:val="0046405E"/>
    <w:rsid w:val="00464BCC"/>
    <w:rsid w:val="0046614B"/>
    <w:rsid w:val="00466D08"/>
    <w:rsid w:val="00467881"/>
    <w:rsid w:val="00473D13"/>
    <w:rsid w:val="00474311"/>
    <w:rsid w:val="0047447A"/>
    <w:rsid w:val="00475F53"/>
    <w:rsid w:val="00476D65"/>
    <w:rsid w:val="004826D7"/>
    <w:rsid w:val="004846C9"/>
    <w:rsid w:val="00485A30"/>
    <w:rsid w:val="00492DE5"/>
    <w:rsid w:val="00492E5A"/>
    <w:rsid w:val="00493D32"/>
    <w:rsid w:val="00495686"/>
    <w:rsid w:val="004A3599"/>
    <w:rsid w:val="004A3703"/>
    <w:rsid w:val="004B44CC"/>
    <w:rsid w:val="004B4D44"/>
    <w:rsid w:val="004B68A9"/>
    <w:rsid w:val="004C032F"/>
    <w:rsid w:val="004C3DAD"/>
    <w:rsid w:val="004C674D"/>
    <w:rsid w:val="004C7BF2"/>
    <w:rsid w:val="004D213B"/>
    <w:rsid w:val="004D5391"/>
    <w:rsid w:val="004E3ACF"/>
    <w:rsid w:val="004E4E3B"/>
    <w:rsid w:val="004E7D73"/>
    <w:rsid w:val="004F3CF1"/>
    <w:rsid w:val="004F5017"/>
    <w:rsid w:val="00500AC5"/>
    <w:rsid w:val="00500F21"/>
    <w:rsid w:val="00501F79"/>
    <w:rsid w:val="00504D23"/>
    <w:rsid w:val="005064B9"/>
    <w:rsid w:val="00513248"/>
    <w:rsid w:val="00514089"/>
    <w:rsid w:val="005227D4"/>
    <w:rsid w:val="005339D9"/>
    <w:rsid w:val="00533D6F"/>
    <w:rsid w:val="00535C36"/>
    <w:rsid w:val="00536D25"/>
    <w:rsid w:val="005371A4"/>
    <w:rsid w:val="00537423"/>
    <w:rsid w:val="00537A0C"/>
    <w:rsid w:val="005409CE"/>
    <w:rsid w:val="00545A48"/>
    <w:rsid w:val="00546974"/>
    <w:rsid w:val="0054798A"/>
    <w:rsid w:val="0055173C"/>
    <w:rsid w:val="005524E6"/>
    <w:rsid w:val="00552B9F"/>
    <w:rsid w:val="0055355F"/>
    <w:rsid w:val="0055515D"/>
    <w:rsid w:val="005573E8"/>
    <w:rsid w:val="00567E51"/>
    <w:rsid w:val="005711B5"/>
    <w:rsid w:val="00571ED2"/>
    <w:rsid w:val="005762BC"/>
    <w:rsid w:val="005764AF"/>
    <w:rsid w:val="00580086"/>
    <w:rsid w:val="00583820"/>
    <w:rsid w:val="00585C62"/>
    <w:rsid w:val="00587FA3"/>
    <w:rsid w:val="005926C5"/>
    <w:rsid w:val="00595A24"/>
    <w:rsid w:val="005A15FA"/>
    <w:rsid w:val="005A3508"/>
    <w:rsid w:val="005A4CC3"/>
    <w:rsid w:val="005A7301"/>
    <w:rsid w:val="005B0D4F"/>
    <w:rsid w:val="005B1421"/>
    <w:rsid w:val="005B1EFB"/>
    <w:rsid w:val="005B34CE"/>
    <w:rsid w:val="005B77D6"/>
    <w:rsid w:val="005C1C5D"/>
    <w:rsid w:val="005C3F1F"/>
    <w:rsid w:val="005C48AA"/>
    <w:rsid w:val="005D1C90"/>
    <w:rsid w:val="005D45E2"/>
    <w:rsid w:val="005E089A"/>
    <w:rsid w:val="005E0A0E"/>
    <w:rsid w:val="005E0DB7"/>
    <w:rsid w:val="005E1060"/>
    <w:rsid w:val="005E1DDF"/>
    <w:rsid w:val="005E5F2B"/>
    <w:rsid w:val="005F123F"/>
    <w:rsid w:val="005F2FD7"/>
    <w:rsid w:val="005F2FDC"/>
    <w:rsid w:val="005F6710"/>
    <w:rsid w:val="005F6C0D"/>
    <w:rsid w:val="00600690"/>
    <w:rsid w:val="006025CE"/>
    <w:rsid w:val="006104F5"/>
    <w:rsid w:val="00617239"/>
    <w:rsid w:val="00617294"/>
    <w:rsid w:val="0061788D"/>
    <w:rsid w:val="00634EAA"/>
    <w:rsid w:val="006403AB"/>
    <w:rsid w:val="00646F83"/>
    <w:rsid w:val="00647F9E"/>
    <w:rsid w:val="00650278"/>
    <w:rsid w:val="00650FA7"/>
    <w:rsid w:val="00661804"/>
    <w:rsid w:val="00662680"/>
    <w:rsid w:val="00662B72"/>
    <w:rsid w:val="00663D77"/>
    <w:rsid w:val="00664F93"/>
    <w:rsid w:val="0066536C"/>
    <w:rsid w:val="006678B6"/>
    <w:rsid w:val="00667E14"/>
    <w:rsid w:val="00671C01"/>
    <w:rsid w:val="006726BB"/>
    <w:rsid w:val="00674004"/>
    <w:rsid w:val="0067547E"/>
    <w:rsid w:val="00677E82"/>
    <w:rsid w:val="00681960"/>
    <w:rsid w:val="00681C0B"/>
    <w:rsid w:val="0068372B"/>
    <w:rsid w:val="00683BC2"/>
    <w:rsid w:val="00687207"/>
    <w:rsid w:val="006922ED"/>
    <w:rsid w:val="00697146"/>
    <w:rsid w:val="006A2BCB"/>
    <w:rsid w:val="006A3473"/>
    <w:rsid w:val="006A50EC"/>
    <w:rsid w:val="006C0C62"/>
    <w:rsid w:val="006C2491"/>
    <w:rsid w:val="006C4F37"/>
    <w:rsid w:val="006C5710"/>
    <w:rsid w:val="006C5B94"/>
    <w:rsid w:val="006C7C57"/>
    <w:rsid w:val="006D1D51"/>
    <w:rsid w:val="006D341F"/>
    <w:rsid w:val="006D360C"/>
    <w:rsid w:val="006D5E0A"/>
    <w:rsid w:val="006E7940"/>
    <w:rsid w:val="006E7BCA"/>
    <w:rsid w:val="006F2471"/>
    <w:rsid w:val="006F3FBA"/>
    <w:rsid w:val="006F47F9"/>
    <w:rsid w:val="006F5AA5"/>
    <w:rsid w:val="006F5AAD"/>
    <w:rsid w:val="006F5D22"/>
    <w:rsid w:val="006F7A2B"/>
    <w:rsid w:val="0070083D"/>
    <w:rsid w:val="00701576"/>
    <w:rsid w:val="007073C1"/>
    <w:rsid w:val="00715388"/>
    <w:rsid w:val="00715573"/>
    <w:rsid w:val="00715EC8"/>
    <w:rsid w:val="00717518"/>
    <w:rsid w:val="007217FA"/>
    <w:rsid w:val="00725075"/>
    <w:rsid w:val="007270BE"/>
    <w:rsid w:val="007328FD"/>
    <w:rsid w:val="00734953"/>
    <w:rsid w:val="00737125"/>
    <w:rsid w:val="00737AC8"/>
    <w:rsid w:val="00743260"/>
    <w:rsid w:val="00744F2A"/>
    <w:rsid w:val="007468FC"/>
    <w:rsid w:val="0075002C"/>
    <w:rsid w:val="0075119B"/>
    <w:rsid w:val="00760152"/>
    <w:rsid w:val="007606B3"/>
    <w:rsid w:val="00763560"/>
    <w:rsid w:val="007651E1"/>
    <w:rsid w:val="00765DE7"/>
    <w:rsid w:val="007724FE"/>
    <w:rsid w:val="00774A64"/>
    <w:rsid w:val="007752DA"/>
    <w:rsid w:val="007811CE"/>
    <w:rsid w:val="007817B7"/>
    <w:rsid w:val="00783FD5"/>
    <w:rsid w:val="007845D2"/>
    <w:rsid w:val="007869E8"/>
    <w:rsid w:val="00786B4C"/>
    <w:rsid w:val="00793609"/>
    <w:rsid w:val="00797B96"/>
    <w:rsid w:val="007A5EB4"/>
    <w:rsid w:val="007A6E0E"/>
    <w:rsid w:val="007B1D70"/>
    <w:rsid w:val="007B3704"/>
    <w:rsid w:val="007B6910"/>
    <w:rsid w:val="007B69A6"/>
    <w:rsid w:val="007B6DC9"/>
    <w:rsid w:val="007B7124"/>
    <w:rsid w:val="007B76BE"/>
    <w:rsid w:val="007C4DE3"/>
    <w:rsid w:val="007C544D"/>
    <w:rsid w:val="007C5D03"/>
    <w:rsid w:val="007C7AC9"/>
    <w:rsid w:val="007D69B9"/>
    <w:rsid w:val="007E35B1"/>
    <w:rsid w:val="007F2A8D"/>
    <w:rsid w:val="0080332B"/>
    <w:rsid w:val="00805A39"/>
    <w:rsid w:val="00805BAA"/>
    <w:rsid w:val="0081017A"/>
    <w:rsid w:val="00810970"/>
    <w:rsid w:val="00811276"/>
    <w:rsid w:val="00812128"/>
    <w:rsid w:val="00816438"/>
    <w:rsid w:val="00817533"/>
    <w:rsid w:val="00817BD1"/>
    <w:rsid w:val="00817DBF"/>
    <w:rsid w:val="00817EAC"/>
    <w:rsid w:val="008208FF"/>
    <w:rsid w:val="00821B7A"/>
    <w:rsid w:val="008236A7"/>
    <w:rsid w:val="008244E6"/>
    <w:rsid w:val="00824570"/>
    <w:rsid w:val="00825710"/>
    <w:rsid w:val="00831772"/>
    <w:rsid w:val="0083666A"/>
    <w:rsid w:val="00837457"/>
    <w:rsid w:val="0084161A"/>
    <w:rsid w:val="008420B8"/>
    <w:rsid w:val="00842A7D"/>
    <w:rsid w:val="00843857"/>
    <w:rsid w:val="00844A8A"/>
    <w:rsid w:val="00846257"/>
    <w:rsid w:val="0084675C"/>
    <w:rsid w:val="00847655"/>
    <w:rsid w:val="00851834"/>
    <w:rsid w:val="00852703"/>
    <w:rsid w:val="00853538"/>
    <w:rsid w:val="00853C78"/>
    <w:rsid w:val="00854D13"/>
    <w:rsid w:val="00855C21"/>
    <w:rsid w:val="00856572"/>
    <w:rsid w:val="00856758"/>
    <w:rsid w:val="00861E3E"/>
    <w:rsid w:val="00862B8D"/>
    <w:rsid w:val="00863378"/>
    <w:rsid w:val="0086421B"/>
    <w:rsid w:val="00872B56"/>
    <w:rsid w:val="0087384A"/>
    <w:rsid w:val="00876741"/>
    <w:rsid w:val="00876C27"/>
    <w:rsid w:val="008818A3"/>
    <w:rsid w:val="00881BD0"/>
    <w:rsid w:val="008875E3"/>
    <w:rsid w:val="008875E4"/>
    <w:rsid w:val="008A11B2"/>
    <w:rsid w:val="008A2D43"/>
    <w:rsid w:val="008B23A6"/>
    <w:rsid w:val="008B3486"/>
    <w:rsid w:val="008B35B0"/>
    <w:rsid w:val="008B48F8"/>
    <w:rsid w:val="008B7906"/>
    <w:rsid w:val="008C0A8C"/>
    <w:rsid w:val="008D0DDC"/>
    <w:rsid w:val="008D23B3"/>
    <w:rsid w:val="008D252C"/>
    <w:rsid w:val="008D42A9"/>
    <w:rsid w:val="008D61C4"/>
    <w:rsid w:val="008D6357"/>
    <w:rsid w:val="008E17DB"/>
    <w:rsid w:val="008E42D8"/>
    <w:rsid w:val="008E4D75"/>
    <w:rsid w:val="008E51E6"/>
    <w:rsid w:val="008E65C4"/>
    <w:rsid w:val="008E6B7D"/>
    <w:rsid w:val="008E7864"/>
    <w:rsid w:val="008E7D0B"/>
    <w:rsid w:val="008F3496"/>
    <w:rsid w:val="008F461F"/>
    <w:rsid w:val="008F6EB1"/>
    <w:rsid w:val="009012E2"/>
    <w:rsid w:val="00902D34"/>
    <w:rsid w:val="00904821"/>
    <w:rsid w:val="00904C01"/>
    <w:rsid w:val="00911E91"/>
    <w:rsid w:val="0092139D"/>
    <w:rsid w:val="00921B12"/>
    <w:rsid w:val="00921F9B"/>
    <w:rsid w:val="00923B43"/>
    <w:rsid w:val="009247C7"/>
    <w:rsid w:val="00924FD0"/>
    <w:rsid w:val="00926C71"/>
    <w:rsid w:val="00933FD3"/>
    <w:rsid w:val="00937133"/>
    <w:rsid w:val="009405CF"/>
    <w:rsid w:val="00943737"/>
    <w:rsid w:val="00944FBB"/>
    <w:rsid w:val="00950A22"/>
    <w:rsid w:val="009543BA"/>
    <w:rsid w:val="00954F4B"/>
    <w:rsid w:val="00956128"/>
    <w:rsid w:val="00966A34"/>
    <w:rsid w:val="00971CB0"/>
    <w:rsid w:val="0097323D"/>
    <w:rsid w:val="00980203"/>
    <w:rsid w:val="00980A06"/>
    <w:rsid w:val="00981114"/>
    <w:rsid w:val="00985D44"/>
    <w:rsid w:val="00990B9B"/>
    <w:rsid w:val="009A3D33"/>
    <w:rsid w:val="009A405E"/>
    <w:rsid w:val="009A46D4"/>
    <w:rsid w:val="009A7A04"/>
    <w:rsid w:val="009C5070"/>
    <w:rsid w:val="009C7A5C"/>
    <w:rsid w:val="009D0346"/>
    <w:rsid w:val="009D17A4"/>
    <w:rsid w:val="009D18F1"/>
    <w:rsid w:val="009D2C88"/>
    <w:rsid w:val="009E0338"/>
    <w:rsid w:val="009E2662"/>
    <w:rsid w:val="009E26B0"/>
    <w:rsid w:val="009F0233"/>
    <w:rsid w:val="009F1DCC"/>
    <w:rsid w:val="009F3D0F"/>
    <w:rsid w:val="009F7E66"/>
    <w:rsid w:val="00A0658B"/>
    <w:rsid w:val="00A11AD2"/>
    <w:rsid w:val="00A2152B"/>
    <w:rsid w:val="00A217A7"/>
    <w:rsid w:val="00A217A8"/>
    <w:rsid w:val="00A22042"/>
    <w:rsid w:val="00A306DA"/>
    <w:rsid w:val="00A35433"/>
    <w:rsid w:val="00A37A41"/>
    <w:rsid w:val="00A47804"/>
    <w:rsid w:val="00A5126F"/>
    <w:rsid w:val="00A52894"/>
    <w:rsid w:val="00A60AF4"/>
    <w:rsid w:val="00A62065"/>
    <w:rsid w:val="00A711BF"/>
    <w:rsid w:val="00A824F8"/>
    <w:rsid w:val="00A8476B"/>
    <w:rsid w:val="00A86723"/>
    <w:rsid w:val="00A91B2C"/>
    <w:rsid w:val="00A92167"/>
    <w:rsid w:val="00A93CD0"/>
    <w:rsid w:val="00A951C2"/>
    <w:rsid w:val="00A95D68"/>
    <w:rsid w:val="00A97803"/>
    <w:rsid w:val="00AA0D3B"/>
    <w:rsid w:val="00AA3820"/>
    <w:rsid w:val="00AA5AEE"/>
    <w:rsid w:val="00AA6ACA"/>
    <w:rsid w:val="00AB18EC"/>
    <w:rsid w:val="00AB7052"/>
    <w:rsid w:val="00AB7E32"/>
    <w:rsid w:val="00AC0E75"/>
    <w:rsid w:val="00AC2A90"/>
    <w:rsid w:val="00AC7ADE"/>
    <w:rsid w:val="00AD7E6D"/>
    <w:rsid w:val="00AE1A7D"/>
    <w:rsid w:val="00AE2811"/>
    <w:rsid w:val="00AE2FC8"/>
    <w:rsid w:val="00AE4D8B"/>
    <w:rsid w:val="00AE57B7"/>
    <w:rsid w:val="00AF10B0"/>
    <w:rsid w:val="00AF1214"/>
    <w:rsid w:val="00AF167A"/>
    <w:rsid w:val="00AF2D81"/>
    <w:rsid w:val="00AF376F"/>
    <w:rsid w:val="00AF40AC"/>
    <w:rsid w:val="00B01829"/>
    <w:rsid w:val="00B02071"/>
    <w:rsid w:val="00B03DA0"/>
    <w:rsid w:val="00B102FA"/>
    <w:rsid w:val="00B10B33"/>
    <w:rsid w:val="00B138F7"/>
    <w:rsid w:val="00B1726C"/>
    <w:rsid w:val="00B17666"/>
    <w:rsid w:val="00B20E17"/>
    <w:rsid w:val="00B313C9"/>
    <w:rsid w:val="00B32A19"/>
    <w:rsid w:val="00B460EC"/>
    <w:rsid w:val="00B47152"/>
    <w:rsid w:val="00B47544"/>
    <w:rsid w:val="00B50724"/>
    <w:rsid w:val="00B522FE"/>
    <w:rsid w:val="00B55E1C"/>
    <w:rsid w:val="00B57EDB"/>
    <w:rsid w:val="00B60FC5"/>
    <w:rsid w:val="00B6537E"/>
    <w:rsid w:val="00B750CC"/>
    <w:rsid w:val="00B75A2E"/>
    <w:rsid w:val="00B830FC"/>
    <w:rsid w:val="00B854A8"/>
    <w:rsid w:val="00B86B42"/>
    <w:rsid w:val="00B87277"/>
    <w:rsid w:val="00B94785"/>
    <w:rsid w:val="00B94C69"/>
    <w:rsid w:val="00B967B5"/>
    <w:rsid w:val="00B979F6"/>
    <w:rsid w:val="00BA14A2"/>
    <w:rsid w:val="00BA27BE"/>
    <w:rsid w:val="00BA4886"/>
    <w:rsid w:val="00BA57C1"/>
    <w:rsid w:val="00BA6096"/>
    <w:rsid w:val="00BA666A"/>
    <w:rsid w:val="00BB1482"/>
    <w:rsid w:val="00BB3161"/>
    <w:rsid w:val="00BB3200"/>
    <w:rsid w:val="00BC070B"/>
    <w:rsid w:val="00BC3A37"/>
    <w:rsid w:val="00BC5F80"/>
    <w:rsid w:val="00BC66CE"/>
    <w:rsid w:val="00BD0B08"/>
    <w:rsid w:val="00BD186C"/>
    <w:rsid w:val="00BD1E2C"/>
    <w:rsid w:val="00BD4028"/>
    <w:rsid w:val="00BD4F1F"/>
    <w:rsid w:val="00BE0151"/>
    <w:rsid w:val="00BE025B"/>
    <w:rsid w:val="00BE3C6C"/>
    <w:rsid w:val="00BF189D"/>
    <w:rsid w:val="00BF5A9F"/>
    <w:rsid w:val="00BF7116"/>
    <w:rsid w:val="00BF7AA9"/>
    <w:rsid w:val="00C00DEE"/>
    <w:rsid w:val="00C03722"/>
    <w:rsid w:val="00C045D0"/>
    <w:rsid w:val="00C05521"/>
    <w:rsid w:val="00C07B86"/>
    <w:rsid w:val="00C12B66"/>
    <w:rsid w:val="00C14FC8"/>
    <w:rsid w:val="00C159BE"/>
    <w:rsid w:val="00C201CF"/>
    <w:rsid w:val="00C21A48"/>
    <w:rsid w:val="00C2330D"/>
    <w:rsid w:val="00C23688"/>
    <w:rsid w:val="00C242DF"/>
    <w:rsid w:val="00C24742"/>
    <w:rsid w:val="00C27456"/>
    <w:rsid w:val="00C30EC6"/>
    <w:rsid w:val="00C312F2"/>
    <w:rsid w:val="00C36F85"/>
    <w:rsid w:val="00C41AAC"/>
    <w:rsid w:val="00C42CBC"/>
    <w:rsid w:val="00C456B7"/>
    <w:rsid w:val="00C456FE"/>
    <w:rsid w:val="00C538D1"/>
    <w:rsid w:val="00C53F9E"/>
    <w:rsid w:val="00C544FB"/>
    <w:rsid w:val="00C557AF"/>
    <w:rsid w:val="00C55CF7"/>
    <w:rsid w:val="00C64FD4"/>
    <w:rsid w:val="00C65026"/>
    <w:rsid w:val="00C65977"/>
    <w:rsid w:val="00C66B3F"/>
    <w:rsid w:val="00C71D4A"/>
    <w:rsid w:val="00C72950"/>
    <w:rsid w:val="00C74376"/>
    <w:rsid w:val="00C831A0"/>
    <w:rsid w:val="00C8367B"/>
    <w:rsid w:val="00C8578A"/>
    <w:rsid w:val="00C87AB5"/>
    <w:rsid w:val="00C9002B"/>
    <w:rsid w:val="00C90AA6"/>
    <w:rsid w:val="00C91C58"/>
    <w:rsid w:val="00C927DF"/>
    <w:rsid w:val="00C92DC6"/>
    <w:rsid w:val="00CA1DCC"/>
    <w:rsid w:val="00CA29FB"/>
    <w:rsid w:val="00CA378A"/>
    <w:rsid w:val="00CA7972"/>
    <w:rsid w:val="00CA7AB1"/>
    <w:rsid w:val="00CA7C54"/>
    <w:rsid w:val="00CB00C3"/>
    <w:rsid w:val="00CB6A1F"/>
    <w:rsid w:val="00CB6CAD"/>
    <w:rsid w:val="00CC7D8B"/>
    <w:rsid w:val="00CD51E6"/>
    <w:rsid w:val="00CD6097"/>
    <w:rsid w:val="00CE0D1B"/>
    <w:rsid w:val="00CE1A87"/>
    <w:rsid w:val="00CE2679"/>
    <w:rsid w:val="00CE2693"/>
    <w:rsid w:val="00CE6A2E"/>
    <w:rsid w:val="00CE771C"/>
    <w:rsid w:val="00CF0D74"/>
    <w:rsid w:val="00CF34C3"/>
    <w:rsid w:val="00D01152"/>
    <w:rsid w:val="00D03086"/>
    <w:rsid w:val="00D0696F"/>
    <w:rsid w:val="00D07A92"/>
    <w:rsid w:val="00D1725E"/>
    <w:rsid w:val="00D200E3"/>
    <w:rsid w:val="00D23D79"/>
    <w:rsid w:val="00D24D72"/>
    <w:rsid w:val="00D25B91"/>
    <w:rsid w:val="00D3134C"/>
    <w:rsid w:val="00D37089"/>
    <w:rsid w:val="00D37402"/>
    <w:rsid w:val="00D42F35"/>
    <w:rsid w:val="00D458A6"/>
    <w:rsid w:val="00D463CA"/>
    <w:rsid w:val="00D52D54"/>
    <w:rsid w:val="00D52D87"/>
    <w:rsid w:val="00D532D0"/>
    <w:rsid w:val="00D54C0C"/>
    <w:rsid w:val="00D55F83"/>
    <w:rsid w:val="00D60303"/>
    <w:rsid w:val="00D60C39"/>
    <w:rsid w:val="00D61434"/>
    <w:rsid w:val="00D630AC"/>
    <w:rsid w:val="00D6426D"/>
    <w:rsid w:val="00D662C7"/>
    <w:rsid w:val="00D71650"/>
    <w:rsid w:val="00D7205A"/>
    <w:rsid w:val="00D735F2"/>
    <w:rsid w:val="00D7684E"/>
    <w:rsid w:val="00D77869"/>
    <w:rsid w:val="00D80D22"/>
    <w:rsid w:val="00D811E3"/>
    <w:rsid w:val="00D8664E"/>
    <w:rsid w:val="00D86D0D"/>
    <w:rsid w:val="00D914BA"/>
    <w:rsid w:val="00D9197A"/>
    <w:rsid w:val="00D92C4E"/>
    <w:rsid w:val="00D94576"/>
    <w:rsid w:val="00DA0B6F"/>
    <w:rsid w:val="00DA70EE"/>
    <w:rsid w:val="00DB14DF"/>
    <w:rsid w:val="00DC0FBF"/>
    <w:rsid w:val="00DC2CA7"/>
    <w:rsid w:val="00DC5AAB"/>
    <w:rsid w:val="00DD1139"/>
    <w:rsid w:val="00DD1BE5"/>
    <w:rsid w:val="00DD5C31"/>
    <w:rsid w:val="00DF108B"/>
    <w:rsid w:val="00DF1128"/>
    <w:rsid w:val="00E0369C"/>
    <w:rsid w:val="00E03867"/>
    <w:rsid w:val="00E07432"/>
    <w:rsid w:val="00E146AE"/>
    <w:rsid w:val="00E14BA3"/>
    <w:rsid w:val="00E15A9C"/>
    <w:rsid w:val="00E175D6"/>
    <w:rsid w:val="00E2114A"/>
    <w:rsid w:val="00E21605"/>
    <w:rsid w:val="00E251D2"/>
    <w:rsid w:val="00E301C4"/>
    <w:rsid w:val="00E311F7"/>
    <w:rsid w:val="00E313BF"/>
    <w:rsid w:val="00E31EF8"/>
    <w:rsid w:val="00E331E5"/>
    <w:rsid w:val="00E33299"/>
    <w:rsid w:val="00E34515"/>
    <w:rsid w:val="00E36417"/>
    <w:rsid w:val="00E41FE3"/>
    <w:rsid w:val="00E42FB2"/>
    <w:rsid w:val="00E522E7"/>
    <w:rsid w:val="00E605F0"/>
    <w:rsid w:val="00E621D7"/>
    <w:rsid w:val="00E6305A"/>
    <w:rsid w:val="00E654BE"/>
    <w:rsid w:val="00E711CF"/>
    <w:rsid w:val="00E72E2A"/>
    <w:rsid w:val="00E76AD6"/>
    <w:rsid w:val="00E833DD"/>
    <w:rsid w:val="00E85450"/>
    <w:rsid w:val="00E859B2"/>
    <w:rsid w:val="00E91099"/>
    <w:rsid w:val="00E93FAE"/>
    <w:rsid w:val="00E95A60"/>
    <w:rsid w:val="00E96237"/>
    <w:rsid w:val="00E97AB1"/>
    <w:rsid w:val="00E97D47"/>
    <w:rsid w:val="00EA0261"/>
    <w:rsid w:val="00EA2E15"/>
    <w:rsid w:val="00EA776A"/>
    <w:rsid w:val="00EA7D03"/>
    <w:rsid w:val="00EB0971"/>
    <w:rsid w:val="00EB24DC"/>
    <w:rsid w:val="00EB7A54"/>
    <w:rsid w:val="00EC3D76"/>
    <w:rsid w:val="00EC65FD"/>
    <w:rsid w:val="00ED124D"/>
    <w:rsid w:val="00ED1505"/>
    <w:rsid w:val="00ED2046"/>
    <w:rsid w:val="00ED59DE"/>
    <w:rsid w:val="00EE1D99"/>
    <w:rsid w:val="00EE362A"/>
    <w:rsid w:val="00EE593A"/>
    <w:rsid w:val="00EF19CE"/>
    <w:rsid w:val="00EF3DF4"/>
    <w:rsid w:val="00EF73E6"/>
    <w:rsid w:val="00EF7AC8"/>
    <w:rsid w:val="00EF7D9E"/>
    <w:rsid w:val="00F0021E"/>
    <w:rsid w:val="00F01444"/>
    <w:rsid w:val="00F135AD"/>
    <w:rsid w:val="00F14ADD"/>
    <w:rsid w:val="00F16DD9"/>
    <w:rsid w:val="00F17875"/>
    <w:rsid w:val="00F22CB6"/>
    <w:rsid w:val="00F23091"/>
    <w:rsid w:val="00F26176"/>
    <w:rsid w:val="00F315D3"/>
    <w:rsid w:val="00F327F2"/>
    <w:rsid w:val="00F359FD"/>
    <w:rsid w:val="00F43D80"/>
    <w:rsid w:val="00F4636E"/>
    <w:rsid w:val="00F47810"/>
    <w:rsid w:val="00F551A4"/>
    <w:rsid w:val="00F55503"/>
    <w:rsid w:val="00F558FF"/>
    <w:rsid w:val="00F6283D"/>
    <w:rsid w:val="00F63682"/>
    <w:rsid w:val="00F641C6"/>
    <w:rsid w:val="00F67BE2"/>
    <w:rsid w:val="00F71E8A"/>
    <w:rsid w:val="00F74CBA"/>
    <w:rsid w:val="00F808A2"/>
    <w:rsid w:val="00F91360"/>
    <w:rsid w:val="00F92573"/>
    <w:rsid w:val="00F93626"/>
    <w:rsid w:val="00F93F1C"/>
    <w:rsid w:val="00FA1926"/>
    <w:rsid w:val="00FA3219"/>
    <w:rsid w:val="00FA569D"/>
    <w:rsid w:val="00FA66D6"/>
    <w:rsid w:val="00FA6A0F"/>
    <w:rsid w:val="00FA7CDB"/>
    <w:rsid w:val="00FB0FFA"/>
    <w:rsid w:val="00FB598A"/>
    <w:rsid w:val="00FB5CB0"/>
    <w:rsid w:val="00FB73B8"/>
    <w:rsid w:val="00FC0037"/>
    <w:rsid w:val="00FC3D4C"/>
    <w:rsid w:val="00FC4201"/>
    <w:rsid w:val="00FC5C3C"/>
    <w:rsid w:val="00FC7926"/>
    <w:rsid w:val="00FD02B9"/>
    <w:rsid w:val="00FD0D91"/>
    <w:rsid w:val="00FD2CC7"/>
    <w:rsid w:val="00FD2D22"/>
    <w:rsid w:val="00FD4F1C"/>
    <w:rsid w:val="00FD5015"/>
    <w:rsid w:val="00FD7D8F"/>
    <w:rsid w:val="00FE2334"/>
    <w:rsid w:val="00FE7308"/>
    <w:rsid w:val="00FF0D06"/>
    <w:rsid w:val="00FF1728"/>
    <w:rsid w:val="00FF64A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E01C"/>
  <w15:docId w15:val="{96AEFAFC-799E-4211-BC37-40CC982E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C0B"/>
    <w:pPr>
      <w:spacing w:before="60" w:line="300" w:lineRule="exact"/>
      <w:ind w:firstLine="284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B20E17"/>
    <w:pPr>
      <w:keepNext/>
      <w:spacing w:after="300" w:line="240" w:lineRule="atLeast"/>
      <w:ind w:firstLine="0"/>
      <w:jc w:val="center"/>
      <w:outlineLvl w:val="0"/>
    </w:pPr>
    <w:rPr>
      <w:b/>
      <w:smallCaps/>
      <w:kern w:val="28"/>
      <w:sz w:val="28"/>
    </w:rPr>
  </w:style>
  <w:style w:type="paragraph" w:styleId="Titolo2">
    <w:name w:val="heading 2"/>
    <w:basedOn w:val="Normale"/>
    <w:next w:val="Normale"/>
    <w:qFormat/>
    <w:rsid w:val="00D60303"/>
    <w:pPr>
      <w:keepNext/>
      <w:spacing w:before="240" w:after="120"/>
      <w:ind w:firstLine="0"/>
      <w:outlineLvl w:val="1"/>
    </w:pPr>
    <w:rPr>
      <w:rFonts w:cs="Arial"/>
      <w:b/>
      <w:bCs/>
      <w:iCs/>
      <w:sz w:val="24"/>
      <w:szCs w:val="28"/>
    </w:rPr>
  </w:style>
  <w:style w:type="paragraph" w:styleId="Titolo3">
    <w:name w:val="heading 3"/>
    <w:basedOn w:val="Normale"/>
    <w:next w:val="Normale"/>
    <w:qFormat/>
    <w:rsid w:val="00D60303"/>
    <w:pPr>
      <w:keepNext/>
      <w:spacing w:before="18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7845D2"/>
    <w:pPr>
      <w:spacing w:before="120"/>
      <w:ind w:left="284" w:firstLine="0"/>
      <w:outlineLvl w:val="3"/>
    </w:pPr>
    <w:rPr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tapidipagina">
    <w:name w:val="Nota piè di pagina"/>
    <w:basedOn w:val="Testonotaapidipagina"/>
    <w:link w:val="NotapidipaginaCarattere"/>
    <w:rsid w:val="005B1421"/>
  </w:style>
  <w:style w:type="paragraph" w:customStyle="1" w:styleId="Sottotitoloscheda">
    <w:name w:val="Sottotitolo scheda"/>
    <w:basedOn w:val="Normale"/>
    <w:rsid w:val="009E0338"/>
    <w:pPr>
      <w:spacing w:before="0" w:after="240" w:line="240" w:lineRule="auto"/>
      <w:ind w:firstLine="0"/>
      <w:jc w:val="center"/>
    </w:pPr>
    <w:rPr>
      <w:b/>
      <w:bCs/>
      <w:i/>
      <w:iCs/>
      <w:sz w:val="26"/>
    </w:rPr>
  </w:style>
  <w:style w:type="character" w:styleId="Rimandonotaapidipagina">
    <w:name w:val="footnote reference"/>
    <w:aliases w:val="(Footnote Reference),SUPERS,Footnote Reference Number,Footnote Reference_LVL6,Footnote Reference_LVL61,Footnote Reference_LVL62,Footnote Reference_LVL63,Footnote Reference_LVL64,Footnote symbol,Footnote reference number"/>
    <w:uiPriority w:val="99"/>
    <w:qFormat/>
    <w:rsid w:val="00051C5B"/>
    <w:rPr>
      <w:sz w:val="18"/>
      <w:vertAlign w:val="superscript"/>
    </w:rPr>
  </w:style>
  <w:style w:type="paragraph" w:customStyle="1" w:styleId="Puntielenco1livello">
    <w:name w:val="Punti elenco 1° livello"/>
    <w:basedOn w:val="Normale"/>
    <w:link w:val="Puntielenco1livelloCarattere"/>
    <w:rsid w:val="009D17A4"/>
    <w:pPr>
      <w:numPr>
        <w:numId w:val="2"/>
      </w:numPr>
      <w:tabs>
        <w:tab w:val="clear" w:pos="720"/>
        <w:tab w:val="num" w:pos="540"/>
      </w:tabs>
      <w:spacing w:before="20"/>
      <w:ind w:left="568" w:hanging="284"/>
    </w:pPr>
  </w:style>
  <w:style w:type="paragraph" w:styleId="Testonotadichiusura">
    <w:name w:val="endnote text"/>
    <w:basedOn w:val="Normale"/>
    <w:semiHidden/>
    <w:rsid w:val="004F5017"/>
    <w:rPr>
      <w:sz w:val="20"/>
    </w:rPr>
  </w:style>
  <w:style w:type="paragraph" w:styleId="Testonotaapidipagina">
    <w:name w:val="footnote text"/>
    <w:aliases w:val="Footnote Text Char Char,Footnote,Fußnote,FSR footnote,lábléc,Carattere1,Footnote Text Char1 Char,Footnote Text Char2 Char Char Char,Footnote Text Char1 Char Char Char Char,Footnote Text Char Char Char Char Char Char,fn,f"/>
    <w:basedOn w:val="Normale"/>
    <w:link w:val="TestonotaapidipaginaCarattere"/>
    <w:autoRedefine/>
    <w:qFormat/>
    <w:rsid w:val="000A40DA"/>
    <w:pPr>
      <w:tabs>
        <w:tab w:val="left" w:pos="425"/>
      </w:tabs>
      <w:spacing w:before="0" w:line="240" w:lineRule="auto"/>
      <w:ind w:left="425" w:hanging="198"/>
    </w:pPr>
    <w:rPr>
      <w:sz w:val="18"/>
    </w:rPr>
  </w:style>
  <w:style w:type="character" w:customStyle="1" w:styleId="TestonotaapidipaginaCarattere">
    <w:name w:val="Testo nota a piè di pagina Carattere"/>
    <w:aliases w:val="Footnote Text Char Char Carattere,Footnote Carattere,Fußnote Carattere,FSR footnote Carattere,lábléc Carattere,Carattere1 Carattere,Footnote Text Char1 Char Carattere,Footnote Text Char2 Char Char Char Carattere"/>
    <w:link w:val="Testonotaapidipagina"/>
    <w:rsid w:val="000A40DA"/>
    <w:rPr>
      <w:rFonts w:ascii="Arial" w:hAnsi="Arial"/>
      <w:sz w:val="18"/>
      <w:lang w:val="it-IT" w:eastAsia="it-IT" w:bidi="ar-SA"/>
    </w:rPr>
  </w:style>
  <w:style w:type="character" w:customStyle="1" w:styleId="NotapidipaginaCarattere">
    <w:name w:val="Nota piè di pagina Carattere"/>
    <w:basedOn w:val="TestonotaapidipaginaCarattere"/>
    <w:link w:val="Notapidipagina"/>
    <w:rsid w:val="005B1421"/>
    <w:rPr>
      <w:rFonts w:ascii="Arial" w:hAnsi="Arial"/>
      <w:sz w:val="18"/>
      <w:lang w:val="it-IT" w:eastAsia="it-IT" w:bidi="ar-SA"/>
    </w:rPr>
  </w:style>
  <w:style w:type="paragraph" w:styleId="Testofumetto">
    <w:name w:val="Balloon Text"/>
    <w:basedOn w:val="Normale"/>
    <w:semiHidden/>
    <w:rsid w:val="006F5AAD"/>
    <w:rPr>
      <w:rFonts w:ascii="Tahoma" w:hAnsi="Tahoma" w:cs="Tahoma"/>
      <w:sz w:val="16"/>
      <w:szCs w:val="16"/>
    </w:rPr>
  </w:style>
  <w:style w:type="paragraph" w:customStyle="1" w:styleId="Normaleridotto10">
    <w:name w:val="Normale ridotto (10)"/>
    <w:basedOn w:val="Normale"/>
    <w:link w:val="Normaleridotto10Carattere"/>
    <w:rsid w:val="006F5AAD"/>
    <w:rPr>
      <w:sz w:val="20"/>
    </w:rPr>
  </w:style>
  <w:style w:type="character" w:customStyle="1" w:styleId="Normaleridotto10Carattere">
    <w:name w:val="Normale ridotto (10) Carattere"/>
    <w:link w:val="Normaleridotto10"/>
    <w:rsid w:val="006F5AAD"/>
    <w:rPr>
      <w:rFonts w:ascii="Arial" w:hAnsi="Arial"/>
      <w:lang w:val="it-IT" w:eastAsia="it-IT" w:bidi="ar-SA"/>
    </w:rPr>
  </w:style>
  <w:style w:type="paragraph" w:customStyle="1" w:styleId="Puntielenco3livello">
    <w:name w:val="Punti elenco 3° livello"/>
    <w:basedOn w:val="Puntielenco1livello"/>
    <w:rsid w:val="00D60303"/>
    <w:pPr>
      <w:numPr>
        <w:numId w:val="6"/>
      </w:numPr>
      <w:tabs>
        <w:tab w:val="clear" w:pos="1620"/>
        <w:tab w:val="num" w:pos="720"/>
      </w:tabs>
      <w:ind w:left="720" w:hanging="181"/>
    </w:pPr>
    <w:rPr>
      <w:sz w:val="20"/>
    </w:rPr>
  </w:style>
  <w:style w:type="character" w:styleId="Rimandonotadichiusura">
    <w:name w:val="endnote reference"/>
    <w:semiHidden/>
    <w:rsid w:val="004F5017"/>
    <w:rPr>
      <w:vertAlign w:val="superscript"/>
    </w:rPr>
  </w:style>
  <w:style w:type="character" w:customStyle="1" w:styleId="Puntielenco1livelloCarattere">
    <w:name w:val="Punti elenco 1° livello Carattere"/>
    <w:link w:val="Puntielenco1livello"/>
    <w:rsid w:val="005227D4"/>
    <w:rPr>
      <w:rFonts w:ascii="Arial" w:hAnsi="Arial"/>
      <w:sz w:val="22"/>
    </w:rPr>
  </w:style>
  <w:style w:type="paragraph" w:styleId="Pidipagina">
    <w:name w:val="footer"/>
    <w:basedOn w:val="Notapidipagina"/>
    <w:link w:val="PidipaginaCarattere"/>
    <w:uiPriority w:val="99"/>
    <w:rsid w:val="009E0338"/>
  </w:style>
  <w:style w:type="paragraph" w:customStyle="1" w:styleId="Puntielenco2livello">
    <w:name w:val="Punti elenco 2° livello"/>
    <w:basedOn w:val="Puntielenco3livello"/>
    <w:qFormat/>
    <w:rsid w:val="009D17A4"/>
    <w:pPr>
      <w:tabs>
        <w:tab w:val="clear" w:pos="720"/>
        <w:tab w:val="num" w:pos="540"/>
      </w:tabs>
      <w:ind w:left="568" w:hanging="284"/>
    </w:pPr>
  </w:style>
  <w:style w:type="character" w:styleId="Collegamentoipertestuale">
    <w:name w:val="Hyperlink"/>
    <w:aliases w:val=" Char1,Char1,Char11"/>
    <w:uiPriority w:val="99"/>
    <w:unhideWhenUsed/>
    <w:rsid w:val="005227D4"/>
    <w:rPr>
      <w:color w:val="0000FF"/>
      <w:u w:val="single"/>
    </w:rPr>
  </w:style>
  <w:style w:type="character" w:styleId="Collegamentovisitato">
    <w:name w:val="FollowedHyperlink"/>
    <w:rsid w:val="007B7124"/>
    <w:rPr>
      <w:color w:val="800080"/>
      <w:u w:val="single"/>
    </w:rPr>
  </w:style>
  <w:style w:type="paragraph" w:styleId="Intestazione">
    <w:name w:val="header"/>
    <w:basedOn w:val="Normale"/>
    <w:link w:val="IntestazioneCarattere"/>
    <w:unhideWhenUsed/>
    <w:rsid w:val="00F315D3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15D3"/>
    <w:rPr>
      <w:rFonts w:ascii="Arial" w:hAnsi="Arial"/>
      <w:sz w:val="22"/>
    </w:rPr>
  </w:style>
  <w:style w:type="table" w:styleId="Grigliatabella">
    <w:name w:val="Table Grid"/>
    <w:aliases w:val="Tabella"/>
    <w:basedOn w:val="Tabellanormale"/>
    <w:rsid w:val="00F315D3"/>
    <w:pPr>
      <w:spacing w:line="300" w:lineRule="exact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Punto elenco 1,Lapis Bulleted List,List Paragraph (numbered (a)),List Paragraph12,CV text,Bullets,3,titulo 3,Párrafo de lista1,normal,References,WB List Paragraph,Normal11,Bullet List,Dot pt,No Spacing1,List Paragraph Char Char Char,L"/>
    <w:basedOn w:val="Normale"/>
    <w:link w:val="ParagrafoelencoCarattere"/>
    <w:uiPriority w:val="34"/>
    <w:qFormat/>
    <w:rsid w:val="00443B1F"/>
    <w:pPr>
      <w:ind w:left="720"/>
      <w:contextualSpacing/>
    </w:pPr>
  </w:style>
  <w:style w:type="character" w:customStyle="1" w:styleId="ParagrafoelencoCarattere">
    <w:name w:val="Paragrafo elenco Carattere"/>
    <w:aliases w:val="Punto elenco 1 Carattere,Lapis Bulleted List Carattere,List Paragraph (numbered (a)) Carattere,List Paragraph12 Carattere,CV text Carattere,Bullets Carattere,3 Carattere,titulo 3 Carattere,Párrafo de lista1 Carattere"/>
    <w:basedOn w:val="Carpredefinitoparagrafo"/>
    <w:link w:val="Paragrafoelenco"/>
    <w:uiPriority w:val="34"/>
    <w:qFormat/>
    <w:locked/>
    <w:rsid w:val="00443B1F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5A4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609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</w:divsChild>
        </w:div>
        <w:div w:id="14231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21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  <w:div w:id="2145344476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</w:divsChild>
        </w:div>
      </w:divsChild>
    </w:div>
    <w:div w:id="768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055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</w:divsChild>
        </w:div>
        <w:div w:id="13994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2009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  <w:div w:id="121831723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2" w:color="000000"/>
                <w:bottom w:val="single" w:sz="6" w:space="0" w:color="000000"/>
                <w:right w:val="single" w:sz="6" w:space="2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5ED6-78E5-4A9C-99F7-C81E20FE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1229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Camera dei Deputati</Company>
  <LinksUpToDate>false</LinksUpToDate>
  <CharactersWithSpaces>8337</CharactersWithSpaces>
  <SharedDoc>false</SharedDoc>
  <HLinks>
    <vt:vector size="36" baseType="variant">
      <vt:variant>
        <vt:i4>786446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http://eur-lex.europa.eu/legal-content/IT/TXT/PDF/?uri=COM:2015:339:FIN&amp;rid=1</vt:lpwstr>
      </vt:variant>
      <vt:variant>
        <vt:lpwstr/>
      </vt:variant>
      <vt:variant>
        <vt:i4>720903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http://eur-lex.europa.eu/legal-content/IT/TXT/PDF/?uri=COM:2015:340:FIN&amp;rid=1</vt:lpwstr>
      </vt:variant>
      <vt:variant>
        <vt:lpwstr/>
      </vt:variant>
      <vt:variant>
        <vt:i4>7340053</vt:i4>
      </vt:variant>
      <vt:variant>
        <vt:i4>9</vt:i4>
      </vt:variant>
      <vt:variant>
        <vt:i4>0</vt:i4>
      </vt:variant>
      <vt:variant>
        <vt:i4>5</vt:i4>
      </vt:variant>
      <vt:variant>
        <vt:lpwstr>http://eur-lex.europa.eu/resource.html?uri=cellar:e285ab78-2ba4-11e5-9f85-01aa75ed71a1.0013.02/DOC_1&amp;format=PDF</vt:lpwstr>
      </vt:variant>
      <vt:variant>
        <vt:lpwstr/>
      </vt:variant>
      <vt:variant>
        <vt:i4>2424862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http://eur-lex.europa.eu/resource.html?uri=cellar:33f82bac-2bc2-11e5-9f85-01aa75ed71a1.0013.02/DOC_1&amp;format=PDF</vt:lpwstr>
      </vt:variant>
      <vt:variant>
        <vt:lpwstr/>
      </vt:variant>
      <vt:variant>
        <vt:i4>7929929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http://eur-lex.europa.eu/resource.html?uri=cellar:1bd46c90-bdd4-11e4-bbe1-01aa75ed71a1.0018.01/DOC_1&amp;format=PDF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http://eur-lex.europa.eu/legal-content/IT/ALL/?uri=CELEX:52011DC0885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Cdd</dc:creator>
  <cp:lastModifiedBy>Cdd</cp:lastModifiedBy>
  <cp:revision>33</cp:revision>
  <cp:lastPrinted>2025-04-18T09:05:00Z</cp:lastPrinted>
  <dcterms:created xsi:type="dcterms:W3CDTF">2025-04-17T19:22:00Z</dcterms:created>
  <dcterms:modified xsi:type="dcterms:W3CDTF">2025-04-18T13:15:00Z</dcterms:modified>
</cp:coreProperties>
</file>